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3A5F"/>
          <w:sz w:val="40"/>
          <w:szCs w:val="40"/>
        </w:rPr>
        <w:t xml:space="preserve">Analyser un arrêt de la Cour de cassation</w:t>
      </w:r>
    </w:p>
    <w:p>
      <w:pPr>
        <w:spacing w:after="40"/>
      </w:pPr>
      <w:r>
        <w:rPr>
          <w:i/>
          <w:iCs/>
          <w:color w:val="444444"/>
          <w:sz w:val="26"/>
          <w:szCs w:val="26"/>
        </w:rPr>
        <w:t xml:space="preserve">Mode d'emploi illustré à l'usage de l'étudiant en droit (matière civile)</w:t>
      </w:r>
    </w:p>
    <w:p>
      <w:pPr>
        <w:pBdr>
          <w:bottom w:val="single" w:color="1F3A5F" w:sz="12" w:space="6"/>
        </w:pBdr>
        <w:spacing w:after="220"/>
      </w:pPr>
    </w:p>
    <w:p>
      <w:pPr>
        <w:spacing w:after="140" w:line="276"/>
      </w:pPr>
      <w:r>
        <w:rPr>
          <w:b w:val="false"/>
          <w:bCs w:val="false"/>
        </w:rPr>
        <w:t xml:space="preserve">Ce guide vous apprend à faire parler un arrêt de la Cour de cassation. Il ne s'agit pas de le résumer, mais de mesurer ce qu'il dit vraiment et le poids qu'il faut lui accorder. Un même arrêt peut fixer le droit pour vingt ans ou n'être qu'une décision d'espèce sans portée. Distinguer les deux est tout l'exercice, et la différence ne saute pas aux yeux à la première lecture.</w:t>
      </w:r>
    </w:p>
    <w:p>
      <w:pPr>
        <w:spacing w:after="140" w:line="276"/>
      </w:pPr>
      <w:r>
        <w:rPr>
          <w:b w:val="false"/>
          <w:bCs w:val="false"/>
        </w:rPr>
        <w:t xml:space="preserve">Chaque notion importante est suivie d'un encadré tiré d'un arrêt réel. La partie 2 contient deux schémas annotés et un exercice de réécriture avant / après 2019 ; la partie 3 détaille les moyens et les branches. La partie 9 recense les situations atypiques de la technique de cassation, la partie 10 la motivation enrichie. Les parties 14 et 15 sont entièrement pratiques.</w:t>
      </w:r>
    </w:p>
    <w:p>
      <w:pPr>
        <w:spacing w:after="140" w:line="276"/>
      </w:pPr>
      <w:r>
        <w:rPr>
          <w:b w:val="false"/>
          <w:bCs w:val="false"/>
        </w:rPr>
        <w:t xml:space="preserve">Sources : note de J.-F. Weber (2009), guide de rédaction des arrêts (2020), guide de lecture des arrêts civils (2021), étude du service de documentation sur la modulation des revirements (2023). Les arrêts cités proviennent de ces guides officiels.</w:t>
      </w:r>
    </w:p>
    <w:p>
      <w:pPr>
        <w:pStyle w:val="Heading1"/>
        <w:spacing w:after="160" w:before="340"/>
      </w:pPr>
      <w:r>
        <w:rPr>
          <w:b w:val="false"/>
          <w:bCs w:val="false"/>
        </w:rPr>
        <w:t xml:space="preserve">1. Commencer par ce que fait la Cour, et ce qu'elle ne fait pas</w:t>
      </w:r>
    </w:p>
    <w:p>
      <w:pPr>
        <w:spacing w:after="140" w:line="276"/>
      </w:pPr>
      <w:r>
        <w:rPr>
          <w:b w:val="false"/>
          <w:bCs w:val="false"/>
        </w:rPr>
        <w:t xml:space="preserve">La Cour de cassation ne rejuge pas l'affaire. Elle contrôle la conformité de la décision attaquée aux règles de droit (article 604 du code de procédure civile). Elle dit le droit, elle n'apprécie pas le fait. Les faits, une fois « souverainement » retenus par les juges du fond, s'imposent à elle.</w:t>
      </w:r>
    </w:p>
    <w:p>
      <w:pPr>
        <w:spacing w:after="140" w:line="276"/>
      </w:pPr>
      <w:r>
        <w:rPr>
          <w:b w:val="false"/>
          <w:bCs w:val="false"/>
        </w:rPr>
        <w:t xml:space="preserve">La Cour ne se saisit jamais elle-même. Le procès reste la chose des parties. Trois paramètres bornent son intervention, à repérer avant toute chose.</w:t>
      </w:r>
    </w:p>
    <w:p>
      <w:pPr>
        <w:pStyle w:val="ListParagraph"/>
        <w:numPr>
          <w:ilvl w:val="0"/>
          <w:numId w:val="2"/>
        </w:numPr>
        <w:spacing w:after="90" w:line="272"/>
      </w:pPr>
      <w:r>
        <w:rPr>
          <w:b/>
          <w:bCs/>
        </w:rPr>
        <w:t xml:space="preserve">Les parties</w:t>
      </w:r>
      <w:r>
        <w:rPr>
          <w:b w:val="false"/>
          <w:bCs w:val="false"/>
        </w:rPr>
        <w:t xml:space="preserve"> : seules agissent celles qui étaient à la décision attaquée et qui y ont intérêt (article 609).</w:t>
      </w:r>
    </w:p>
    <w:p>
      <w:pPr>
        <w:pStyle w:val="ListParagraph"/>
        <w:numPr>
          <w:ilvl w:val="0"/>
          <w:numId w:val="2"/>
        </w:numPr>
        <w:spacing w:after="90" w:line="272"/>
      </w:pPr>
      <w:r>
        <w:rPr>
          <w:b/>
          <w:bCs/>
        </w:rPr>
        <w:t xml:space="preserve">Les griefs</w:t>
      </w:r>
      <w:r>
        <w:rPr>
          <w:b w:val="false"/>
          <w:bCs w:val="false"/>
        </w:rPr>
        <w:t xml:space="preserve"> : seuls sont examinés les chefs du dispositif que le pourvoi critique. Ce qui n'est pas attaqué n'est pas jugé.</w:t>
      </w:r>
    </w:p>
    <w:p>
      <w:pPr>
        <w:pStyle w:val="ListParagraph"/>
        <w:numPr>
          <w:ilvl w:val="0"/>
          <w:numId w:val="2"/>
        </w:numPr>
        <w:spacing w:after="90" w:line="272"/>
      </w:pPr>
      <w:r>
        <w:rPr>
          <w:b/>
          <w:bCs/>
        </w:rPr>
        <w:t xml:space="preserve">Les moyens</w:t>
      </w:r>
      <w:r>
        <w:rPr>
          <w:b w:val="false"/>
          <w:bCs w:val="false"/>
        </w:rPr>
        <w:t xml:space="preserve"> : « le moyen, rien que le moyen, mais tout le moyen ». La censure est limitée à la portée du moyen qui la fonde (article 624), sauf indivisibilité ou dépendance nécessaire.</w:t>
      </w:r>
    </w:p>
    <w:p>
      <w:pPr>
        <w:spacing w:after="140" w:line="276"/>
      </w:pPr>
      <w:r>
        <w:rPr>
          <w:b w:val="false"/>
          <w:bCs w:val="false"/>
        </w:rPr>
        <w:t xml:space="preserve">Conséquence pratique : </w:t>
      </w:r>
      <w:r>
        <w:rPr>
          <w:b/>
          <w:bCs/>
        </w:rPr>
        <w:t xml:space="preserve">un arrêt de rejet n'approuve pas toute la décision attaquée.</w:t>
      </w:r>
      <w:r>
        <w:rPr>
          <w:b w:val="false"/>
          <w:bCs w:val="false"/>
        </w:rPr>
        <w:t xml:space="preserve"> Si les moyens n'ont visé que le chef A, la Cour ne s'est pas prononcée sur B et C. Un rejet signifie « les critiques présentées ne tiennent pas », non « la cour d'appel a bien jugé ».</w:t>
      </w:r>
    </w:p>
    <w:p>
      <w:pPr>
        <w:spacing w:after="140" w:line="276"/>
      </w:pPr>
      <w:r>
        <w:rPr>
          <w:b w:val="false"/>
          <w:bCs w:val="false"/>
        </w:rPr>
        <w:t xml:space="preserve">Piège à écarter dès maintenant : ne lisez jamais le moyen à la place de la réponse. Le moyen est l'argumentaire de l'avocat du perdant. Ce qui fait autorité, c'est la réponse de la Cour.</w:t>
      </w:r>
    </w:p>
    <w:p>
      <w:pPr>
        <w:pStyle w:val="Heading1"/>
        <w:spacing w:after="160" w:before="340"/>
      </w:pPr>
      <w:r>
        <w:rPr>
          <w:b w:val="false"/>
          <w:bCs w:val="false"/>
        </w:rPr>
        <w:t xml:space="preserve">2. Lire la structure de l'arrêt</w:t>
      </w:r>
    </w:p>
    <w:p>
      <w:pPr>
        <w:pStyle w:val="Heading2"/>
        <w:spacing w:after="120" w:before="240"/>
      </w:pPr>
      <w:r>
        <w:rPr>
          <w:b w:val="false"/>
          <w:bCs w:val="false"/>
        </w:rPr>
        <w:t xml:space="preserve">2.1. La rédaction actuelle (depuis octobre 2019)</w:t>
      </w:r>
    </w:p>
    <w:p>
      <w:pPr>
        <w:spacing w:after="140" w:line="276"/>
      </w:pPr>
      <w:r>
        <w:rPr>
          <w:b w:val="false"/>
          <w:bCs w:val="false"/>
        </w:rPr>
        <w:t xml:space="preserve">Depuis octobre 2019, les arrêts sont rédigés en style direct, en phrases ordinaires, avec des paragraphes numérotés. Finie la phrase unique en « attendu que ». La lecture se fait en trois parties.</w:t>
      </w:r>
    </w:p>
    <w:p>
      <w:pPr>
        <w:pStyle w:val="ListParagraph"/>
        <w:numPr>
          <w:ilvl w:val="0"/>
          <w:numId w:val="3"/>
        </w:numPr>
        <w:spacing w:after="120" w:line="272"/>
      </w:pPr>
      <w:r>
        <w:rPr>
          <w:b/>
          <w:bCs/>
        </w:rPr>
        <w:t xml:space="preserve">Faits et procédure.</w:t>
      </w:r>
      <w:r>
        <w:rPr>
          <w:b w:val="false"/>
          <w:bCs w:val="false"/>
        </w:rPr>
        <w:t xml:space="preserve"> Exposé objectif, limité aux faits utiles, tirés du seul arrêt attaqué (et du jugement s'il est confirmé).</w:t>
      </w:r>
    </w:p>
    <w:p>
      <w:pPr>
        <w:pStyle w:val="ListParagraph"/>
        <w:numPr>
          <w:ilvl w:val="0"/>
          <w:numId w:val="3"/>
        </w:numPr>
        <w:spacing w:after="120" w:line="272"/>
      </w:pPr>
      <w:r>
        <w:rPr>
          <w:b/>
          <w:bCs/>
        </w:rPr>
        <w:t xml:space="preserve">Examen du moyen (ou des moyens).</w:t>
      </w:r>
      <w:r>
        <w:rPr>
          <w:b w:val="false"/>
          <w:bCs w:val="false"/>
        </w:rPr>
        <w:t xml:space="preserve"> Le cœur. Chaque moyen se divise en deux : l'« Énoncé du moyen », puis la « Réponse de la Cour ».</w:t>
      </w:r>
    </w:p>
    <w:p>
      <w:pPr>
        <w:pStyle w:val="ListParagraph"/>
        <w:numPr>
          <w:ilvl w:val="0"/>
          <w:numId w:val="3"/>
        </w:numPr>
        <w:spacing w:after="120" w:line="272"/>
      </w:pPr>
      <w:r>
        <w:rPr>
          <w:b/>
          <w:bCs/>
        </w:rPr>
        <w:t xml:space="preserve">Dispositif</w:t>
      </w:r>
      <w:r>
        <w:rPr>
          <w:b w:val="false"/>
          <w:bCs w:val="false"/>
        </w:rPr>
        <w:t xml:space="preserve">, introduit par « PAR CES MOTIFS, la Cour : ».</w:t>
      </w:r>
    </w:p>
    <w:p>
      <w:pPr>
        <w:spacing w:after="140" w:line="276"/>
      </w:pPr>
      <w:r>
        <w:rPr>
          <w:b w:val="false"/>
          <w:bCs w:val="false"/>
        </w:rPr>
        <w:t xml:space="preserve">Le guide de 2020 le rappelle : ce changement de rédaction n'a rien changé à la méthode. </w:t>
      </w:r>
      <w:r>
        <w:rPr>
          <w:b/>
          <w:bCs/>
        </w:rPr>
        <w:t xml:space="preserve">La technique de cassation reste identique, le syllogisme demeure.</w:t>
      </w:r>
      <w:r>
        <w:rPr>
          <w:b w:val="false"/>
          <w:bCs w:val="false"/>
        </w:rPr>
        <w:t xml:space="preserve"> Seule la présentation a évolué.</w:t>
      </w:r>
    </w:p>
    <w:p>
      <w:pPr>
        <w:pStyle w:val="Heading2"/>
        <w:spacing w:after="120" w:before="240"/>
      </w:pPr>
      <w:r>
        <w:rPr>
          <w:b w:val="false"/>
          <w:bCs w:val="false"/>
        </w:rPr>
        <w:t xml:space="preserve">2.2. La rédaction antérieure à 2019 (style indirect, « attendu que »)</w:t>
      </w:r>
    </w:p>
    <w:p>
      <w:pPr>
        <w:spacing w:after="140" w:line="276"/>
      </w:pPr>
      <w:r>
        <w:rPr>
          <w:b w:val="false"/>
          <w:bCs w:val="false"/>
        </w:rPr>
        <w:t xml:space="preserve">Jusqu'en octobre 2019, l'arrêt civil se présentait comme une phrase unique, en style indirect, articulée par des « attendu que ». Le raisonnement était le même : seule la présentation diffère. Vous rencontrerez ces arrêts pendant des décennies, il faut savoir les décoder. Voici l'anatomie des deux types.</w:t>
      </w:r>
    </w:p>
    <w:p>
      <w:pPr>
        <w:pStyle w:val="Heading3"/>
        <w:spacing w:after="100" w:before="180"/>
      </w:pPr>
      <w:r>
        <w:rPr>
          <w:b w:val="false"/>
          <w:bCs w:val="false"/>
        </w:rPr>
        <w:t xml:space="preserve">Un arrêt de rejet, avant 2019</w:t>
      </w:r>
    </w:p>
    <w:p>
      <w:pPr>
        <w:pStyle w:val="ListParagraph"/>
        <w:numPr>
          <w:ilvl w:val="0"/>
          <w:numId w:val="2"/>
        </w:numPr>
        <w:spacing w:after="90" w:line="272"/>
      </w:pPr>
      <w:r>
        <w:rPr>
          <w:b w:val="false"/>
          <w:bCs w:val="false"/>
        </w:rPr>
        <w:t xml:space="preserve">« </w:t>
      </w:r>
      <w:r>
        <w:rPr>
          <w:b/>
          <w:bCs/>
        </w:rPr>
        <w:t xml:space="preserve">Sur le moyen unique</w:t>
      </w:r>
      <w:r>
        <w:rPr>
          <w:b w:val="false"/>
          <w:bCs w:val="false"/>
        </w:rPr>
        <w:t xml:space="preserve"> » (ou « Sur le premier moyen ») : annonce le moyen examiné.</w:t>
      </w:r>
    </w:p>
    <w:p>
      <w:pPr>
        <w:pStyle w:val="ListParagraph"/>
        <w:numPr>
          <w:ilvl w:val="0"/>
          <w:numId w:val="2"/>
        </w:numPr>
        <w:spacing w:after="90" w:line="272"/>
      </w:pPr>
      <w:r>
        <w:rPr>
          <w:b w:val="false"/>
          <w:bCs w:val="false"/>
        </w:rPr>
        <w:t xml:space="preserve">« </w:t>
      </w:r>
      <w:r>
        <w:rPr>
          <w:b/>
          <w:bCs/>
        </w:rPr>
        <w:t xml:space="preserve">Attendu, selon l'arrêt attaqué (…), que</w:t>
      </w:r>
      <w:r>
        <w:rPr>
          <w:b w:val="false"/>
          <w:bCs w:val="false"/>
        </w:rPr>
        <w:t xml:space="preserve"> [faits et procédure] » : les faits constants et le parcours, au style indirect.</w:t>
      </w:r>
    </w:p>
    <w:p>
      <w:pPr>
        <w:pStyle w:val="ListParagraph"/>
        <w:numPr>
          <w:ilvl w:val="0"/>
          <w:numId w:val="2"/>
        </w:numPr>
        <w:spacing w:after="90" w:line="272"/>
      </w:pPr>
      <w:r>
        <w:rPr>
          <w:b w:val="false"/>
          <w:bCs w:val="false"/>
        </w:rPr>
        <w:t xml:space="preserve">« </w:t>
      </w:r>
      <w:r>
        <w:rPr>
          <w:b/>
          <w:bCs/>
        </w:rPr>
        <w:t xml:space="preserve">Attendu que</w:t>
      </w:r>
      <w:r>
        <w:rPr>
          <w:b w:val="false"/>
          <w:bCs w:val="false"/>
        </w:rPr>
        <w:t xml:space="preserve"> [le demandeur] </w:t>
      </w:r>
      <w:r>
        <w:rPr>
          <w:b/>
          <w:bCs/>
        </w:rPr>
        <w:t xml:space="preserve">fait grief à l'arrêt de</w:t>
      </w:r>
      <w:r>
        <w:rPr>
          <w:b w:val="false"/>
          <w:bCs w:val="false"/>
        </w:rPr>
        <w:t xml:space="preserve"> [décision], </w:t>
      </w:r>
      <w:r>
        <w:rPr>
          <w:b/>
          <w:bCs/>
        </w:rPr>
        <w:t xml:space="preserve">alors, selon le moyen, que</w:t>
      </w:r>
      <w:r>
        <w:rPr>
          <w:b w:val="false"/>
          <w:bCs w:val="false"/>
        </w:rPr>
        <w:t xml:space="preserve"> [texte du moyen] » : l'énoncé du moyen, le grief.</w:t>
      </w:r>
    </w:p>
    <w:p>
      <w:pPr>
        <w:pStyle w:val="ListParagraph"/>
        <w:numPr>
          <w:ilvl w:val="0"/>
          <w:numId w:val="2"/>
        </w:numPr>
        <w:spacing w:after="90" w:line="272"/>
      </w:pPr>
      <w:r>
        <w:rPr>
          <w:b w:val="false"/>
          <w:bCs w:val="false"/>
        </w:rPr>
        <w:t xml:space="preserve">« </w:t>
      </w:r>
      <w:r>
        <w:rPr>
          <w:b/>
          <w:bCs/>
        </w:rPr>
        <w:t xml:space="preserve">Mais attendu que</w:t>
      </w:r>
      <w:r>
        <w:rPr>
          <w:b w:val="false"/>
          <w:bCs w:val="false"/>
        </w:rPr>
        <w:t xml:space="preserve"> [réponse de la Cour] » : la réponse. Le « Mais » marque le rejet. La Cour peut y glisser un chapeau intérieur.</w:t>
      </w:r>
    </w:p>
    <w:p>
      <w:pPr>
        <w:pStyle w:val="ListParagraph"/>
        <w:numPr>
          <w:ilvl w:val="0"/>
          <w:numId w:val="2"/>
        </w:numPr>
        <w:spacing w:after="90" w:line="272"/>
      </w:pPr>
      <w:r>
        <w:rPr>
          <w:b w:val="false"/>
          <w:bCs w:val="false"/>
        </w:rPr>
        <w:t xml:space="preserve">« </w:t>
      </w:r>
      <w:r>
        <w:rPr>
          <w:b/>
          <w:bCs/>
        </w:rPr>
        <w:t xml:space="preserve">D'où il suit que le moyen n'est pas fondé</w:t>
      </w:r>
      <w:r>
        <w:rPr>
          <w:b w:val="false"/>
          <w:bCs w:val="false"/>
        </w:rPr>
        <w:t xml:space="preserve"> » : la conclusion.</w:t>
      </w:r>
    </w:p>
    <w:p>
      <w:pPr>
        <w:pStyle w:val="ListParagraph"/>
        <w:numPr>
          <w:ilvl w:val="0"/>
          <w:numId w:val="2"/>
        </w:numPr>
        <w:spacing w:after="90" w:line="272"/>
      </w:pPr>
      <w:r>
        <w:rPr>
          <w:b w:val="false"/>
          <w:bCs w:val="false"/>
        </w:rPr>
        <w:t xml:space="preserve">« </w:t>
      </w:r>
      <w:r>
        <w:rPr>
          <w:b/>
          <w:bCs/>
        </w:rPr>
        <w:t xml:space="preserve">PAR CES MOTIFS : REJETTE le pourvoi</w:t>
      </w:r>
      <w:r>
        <w:rPr>
          <w:b w:val="false"/>
          <w:bCs w:val="false"/>
        </w:rPr>
        <w:t xml:space="preserve"> ».</w:t>
      </w:r>
    </w:p>
    <w:p>
      <w:pPr>
        <w:pStyle w:val="Heading3"/>
        <w:spacing w:after="100" w:before="180"/>
      </w:pPr>
      <w:r>
        <w:rPr>
          <w:b w:val="false"/>
          <w:bCs w:val="false"/>
        </w:rPr>
        <w:t xml:space="preserve">Un arrêt de cassation, avant 2019</w:t>
      </w:r>
    </w:p>
    <w:p>
      <w:pPr>
        <w:pStyle w:val="ListParagraph"/>
        <w:numPr>
          <w:ilvl w:val="0"/>
          <w:numId w:val="2"/>
        </w:numPr>
        <w:spacing w:after="90" w:line="272"/>
      </w:pPr>
      <w:r>
        <w:rPr>
          <w:b w:val="false"/>
          <w:bCs w:val="false"/>
        </w:rPr>
        <w:t xml:space="preserve">« </w:t>
      </w:r>
      <w:r>
        <w:rPr>
          <w:b/>
          <w:bCs/>
        </w:rPr>
        <w:t xml:space="preserve">Vu l'article…</w:t>
      </w:r>
      <w:r>
        <w:rPr>
          <w:b w:val="false"/>
          <w:bCs w:val="false"/>
        </w:rPr>
        <w:t xml:space="preserve"> » : le visa, fondement de la cassation.</w:t>
      </w:r>
    </w:p>
    <w:p>
      <w:pPr>
        <w:pStyle w:val="ListParagraph"/>
        <w:numPr>
          <w:ilvl w:val="0"/>
          <w:numId w:val="2"/>
        </w:numPr>
        <w:spacing w:after="90" w:line="272"/>
      </w:pPr>
      <w:r>
        <w:rPr>
          <w:b w:val="false"/>
          <w:bCs w:val="false"/>
        </w:rPr>
        <w:t xml:space="preserve">« </w:t>
      </w:r>
      <w:r>
        <w:rPr>
          <w:b/>
          <w:bCs/>
        </w:rPr>
        <w:t xml:space="preserve">Attendu que</w:t>
      </w:r>
      <w:r>
        <w:rPr>
          <w:b w:val="false"/>
          <w:bCs w:val="false"/>
        </w:rPr>
        <w:t xml:space="preserve"> [règle] » : le chapeau, la majeure du syllogisme.</w:t>
      </w:r>
    </w:p>
    <w:p>
      <w:pPr>
        <w:pStyle w:val="ListParagraph"/>
        <w:numPr>
          <w:ilvl w:val="0"/>
          <w:numId w:val="2"/>
        </w:numPr>
        <w:spacing w:after="90" w:line="272"/>
      </w:pPr>
      <w:r>
        <w:rPr>
          <w:b w:val="false"/>
          <w:bCs w:val="false"/>
        </w:rPr>
        <w:t xml:space="preserve">« </w:t>
      </w:r>
      <w:r>
        <w:rPr>
          <w:b/>
          <w:bCs/>
        </w:rPr>
        <w:t xml:space="preserve">Attendu, selon l'arrêt attaqué, que</w:t>
      </w:r>
      <w:r>
        <w:rPr>
          <w:b w:val="false"/>
          <w:bCs w:val="false"/>
        </w:rPr>
        <w:t xml:space="preserve"> [faits et procédure] ».</w:t>
      </w:r>
    </w:p>
    <w:p>
      <w:pPr>
        <w:pStyle w:val="ListParagraph"/>
        <w:numPr>
          <w:ilvl w:val="0"/>
          <w:numId w:val="2"/>
        </w:numPr>
        <w:spacing w:after="90" w:line="272"/>
      </w:pPr>
      <w:r>
        <w:rPr>
          <w:b w:val="false"/>
          <w:bCs w:val="false"/>
        </w:rPr>
        <w:t xml:space="preserve">« </w:t>
      </w:r>
      <w:r>
        <w:rPr>
          <w:b/>
          <w:bCs/>
        </w:rPr>
        <w:t xml:space="preserve">Attendu que, pour</w:t>
      </w:r>
      <w:r>
        <w:rPr>
          <w:b w:val="false"/>
          <w:bCs w:val="false"/>
        </w:rPr>
        <w:t xml:space="preserve"> [décision], </w:t>
      </w:r>
      <w:r>
        <w:rPr>
          <w:b/>
          <w:bCs/>
        </w:rPr>
        <w:t xml:space="preserve">l'arrêt retient que</w:t>
      </w:r>
      <w:r>
        <w:rPr>
          <w:b w:val="false"/>
          <w:bCs w:val="false"/>
        </w:rPr>
        <w:t xml:space="preserve"> [motifs de la cour d'appel] » : la mineure.</w:t>
      </w:r>
    </w:p>
    <w:p>
      <w:pPr>
        <w:pStyle w:val="ListParagraph"/>
        <w:numPr>
          <w:ilvl w:val="0"/>
          <w:numId w:val="2"/>
        </w:numPr>
        <w:spacing w:after="90" w:line="272"/>
      </w:pPr>
      <w:r>
        <w:rPr>
          <w:b w:val="false"/>
          <w:bCs w:val="false"/>
        </w:rPr>
        <w:t xml:space="preserve">« </w:t>
      </w:r>
      <w:r>
        <w:rPr>
          <w:b/>
          <w:bCs/>
        </w:rPr>
        <w:t xml:space="preserve">Qu'en statuant ainsi… la cour d'appel a violé le texte susvisé</w:t>
      </w:r>
      <w:r>
        <w:rPr>
          <w:b w:val="false"/>
          <w:bCs w:val="false"/>
        </w:rPr>
        <w:t xml:space="preserve"> » : le conclusif (violation de la loi). Pour le manque de base légale : « </w:t>
      </w:r>
      <w:r>
        <w:rPr>
          <w:b/>
          <w:bCs/>
        </w:rPr>
        <w:t xml:space="preserve">Qu'en se déterminant ainsi… n'a pas donné de base légale à sa décision</w:t>
      </w:r>
      <w:r>
        <w:rPr>
          <w:b w:val="false"/>
          <w:bCs w:val="false"/>
        </w:rPr>
        <w:t xml:space="preserve"> ».</w:t>
      </w:r>
    </w:p>
    <w:p>
      <w:pPr>
        <w:pStyle w:val="ListParagraph"/>
        <w:numPr>
          <w:ilvl w:val="0"/>
          <w:numId w:val="2"/>
        </w:numPr>
        <w:spacing w:after="90" w:line="272"/>
      </w:pPr>
      <w:r>
        <w:rPr>
          <w:b w:val="false"/>
          <w:bCs w:val="false"/>
        </w:rPr>
        <w:t xml:space="preserve">« </w:t>
      </w:r>
      <w:r>
        <w:rPr>
          <w:b/>
          <w:bCs/>
        </w:rPr>
        <w:t xml:space="preserve">PAR CES MOTIFS : CASSE ET ANNULE…, renvoie…</w:t>
      </w:r>
      <w:r>
        <w:rPr>
          <w:b w:val="false"/>
          <w:bCs w:val="false"/>
        </w:rPr>
        <w:t xml:space="preserve"> ».</w:t>
      </w:r>
    </w:p>
    <w:p>
      <w:pPr>
        <w:pStyle w:val="Heading3"/>
        <w:spacing w:after="100" w:before="180"/>
      </w:pPr>
      <w:r>
        <w:rPr>
          <w:b w:val="false"/>
          <w:bCs w:val="false"/>
        </w:rPr>
        <w:t xml:space="preserve">Les marqueurs de style à reconnaître</w:t>
      </w:r>
    </w:p>
    <w:p>
      <w:pPr>
        <w:pStyle w:val="ListParagraph"/>
        <w:numPr>
          <w:ilvl w:val="0"/>
          <w:numId w:val="2"/>
        </w:numPr>
        <w:spacing w:after="90" w:line="272"/>
      </w:pPr>
      <w:r>
        <w:rPr>
          <w:b/>
          <w:bCs/>
        </w:rPr>
        <w:t xml:space="preserve">La phrase unique</w:t>
      </w:r>
      <w:r>
        <w:rPr>
          <w:b w:val="false"/>
          <w:bCs w:val="false"/>
        </w:rPr>
        <w:t xml:space="preserve"> : tout l'arrêt tient grammaticalement en une seule phrase, chaque proposition étant introduite par « que ».</w:t>
      </w:r>
    </w:p>
    <w:p>
      <w:pPr>
        <w:pStyle w:val="ListParagraph"/>
        <w:numPr>
          <w:ilvl w:val="0"/>
          <w:numId w:val="2"/>
        </w:numPr>
        <w:spacing w:after="90" w:line="272"/>
      </w:pPr>
      <w:r>
        <w:rPr>
          <w:b/>
          <w:bCs/>
        </w:rPr>
        <w:t xml:space="preserve">« attendu que »</w:t>
      </w:r>
      <w:r>
        <w:rPr>
          <w:b w:val="false"/>
          <w:bCs w:val="false"/>
        </w:rPr>
        <w:t xml:space="preserve"> est une simple charnière logique, sans valeur temporelle ; le subjonctif domine.</w:t>
      </w:r>
    </w:p>
    <w:p>
      <w:pPr>
        <w:pStyle w:val="ListParagraph"/>
        <w:numPr>
          <w:ilvl w:val="0"/>
          <w:numId w:val="2"/>
        </w:numPr>
        <w:spacing w:after="90" w:line="272"/>
      </w:pPr>
      <w:r>
        <w:rPr>
          <w:b/>
          <w:bCs/>
        </w:rPr>
        <w:t xml:space="preserve">« Mais attendu que »</w:t>
      </w:r>
      <w:r>
        <w:rPr>
          <w:b w:val="false"/>
          <w:bCs w:val="false"/>
        </w:rPr>
        <w:t xml:space="preserve"> ouvre la réfutation (rejet) ; </w:t>
      </w:r>
      <w:r>
        <w:rPr>
          <w:b/>
          <w:bCs/>
        </w:rPr>
        <w:t xml:space="preserve">« Qu'en statuant ainsi »</w:t>
      </w:r>
      <w:r>
        <w:rPr>
          <w:b w:val="false"/>
          <w:bCs w:val="false"/>
        </w:rPr>
        <w:t xml:space="preserve"> ou </w:t>
      </w:r>
      <w:r>
        <w:rPr>
          <w:b/>
          <w:bCs/>
        </w:rPr>
        <w:t xml:space="preserve">« Qu'en se déterminant ainsi »</w:t>
      </w:r>
      <w:r>
        <w:rPr>
          <w:b w:val="false"/>
          <w:bCs w:val="false"/>
        </w:rPr>
        <w:t xml:space="preserve"> ouvre la censure (cassation) ; </w:t>
      </w:r>
      <w:r>
        <w:rPr>
          <w:b/>
          <w:bCs/>
        </w:rPr>
        <w:t xml:space="preserve">« D'où il suit que »</w:t>
      </w:r>
      <w:r>
        <w:rPr>
          <w:b w:val="false"/>
          <w:bCs w:val="false"/>
        </w:rPr>
        <w:t xml:space="preserve"> introduit la conclusion.</w:t>
      </w:r>
    </w:p>
    <w:p>
      <w:pPr>
        <w:spacing w:after="140" w:line="276"/>
      </w:pPr>
      <w:r>
        <w:rPr>
          <w:b w:val="false"/>
          <w:bCs w:val="false"/>
        </w:rPr>
        <w:t xml:space="preserve">Attention à la période de transition : certains arrêts de 2019 et 2020 conservent encore le style « attendu ». Ne datez jamais un arrêt d'après sa seule forme.</w:t>
      </w:r>
    </w:p>
    <w:p>
      <w:pPr>
        <w:pStyle w:val="Heading2"/>
        <w:spacing w:after="120" w:before="240"/>
      </w:pPr>
      <w:r>
        <w:rPr>
          <w:b w:val="false"/>
          <w:bCs w:val="false"/>
        </w:rPr>
        <w:t xml:space="preserve">2.3. Le syllogisme, forme cachée de tout arrêt</w:t>
      </w:r>
    </w:p>
    <w:p>
      <w:pPr>
        <w:spacing w:after="140" w:line="276"/>
      </w:pPr>
      <w:r>
        <w:rPr>
          <w:b w:val="false"/>
          <w:bCs w:val="false"/>
        </w:rPr>
        <w:t xml:space="preserve">Un arrêt de </w:t>
      </w:r>
      <w:r>
        <w:rPr>
          <w:b/>
          <w:bCs/>
        </w:rPr>
        <w:t xml:space="preserve">cassation</w:t>
      </w:r>
      <w:r>
        <w:rPr>
          <w:b w:val="false"/>
          <w:bCs w:val="false"/>
        </w:rPr>
        <w:t xml:space="preserve"> se lit comme un syllogisme inversé : le </w:t>
      </w:r>
      <w:r>
        <w:rPr>
          <w:b/>
          <w:bCs/>
        </w:rPr>
        <w:t xml:space="preserve">visa</w:t>
      </w:r>
      <w:r>
        <w:rPr>
          <w:b w:val="false"/>
          <w:bCs w:val="false"/>
        </w:rPr>
        <w:t xml:space="preserve"> (le ou les textes fondant la cassation, obligatoire, article 1020), le </w:t>
      </w:r>
      <w:r>
        <w:rPr>
          <w:b/>
          <w:bCs/>
        </w:rPr>
        <w:t xml:space="preserve">chapeau</w:t>
      </w:r>
      <w:r>
        <w:rPr>
          <w:b w:val="false"/>
          <w:bCs w:val="false"/>
        </w:rPr>
        <w:t xml:space="preserve"> (l'énoncé de la règle, la majeure), la </w:t>
      </w:r>
      <w:r>
        <w:rPr>
          <w:b/>
          <w:bCs/>
        </w:rPr>
        <w:t xml:space="preserve">mineure</w:t>
      </w:r>
      <w:r>
        <w:rPr>
          <w:b w:val="false"/>
          <w:bCs w:val="false"/>
        </w:rPr>
        <w:t xml:space="preserve"> (ce qu'a jugé la cour d'appel), le </w:t>
      </w:r>
      <w:r>
        <w:rPr>
          <w:b/>
          <w:bCs/>
        </w:rPr>
        <w:t xml:space="preserve">conclusif</w:t>
      </w:r>
      <w:r>
        <w:rPr>
          <w:b w:val="false"/>
          <w:bCs w:val="false"/>
        </w:rPr>
        <w:t xml:space="preserve"> (la formule de censure, seul passage qui exprime la doctrine de la Cour). Un arrêt de </w:t>
      </w:r>
      <w:r>
        <w:rPr>
          <w:b/>
          <w:bCs/>
        </w:rPr>
        <w:t xml:space="preserve">rejet</w:t>
      </w:r>
      <w:r>
        <w:rPr>
          <w:b w:val="false"/>
          <w:bCs w:val="false"/>
        </w:rPr>
        <w:t xml:space="preserve"> suit le mouvement inverse : chef critiqué, moyen, puis réfutation par la « Réponse de la Cour ».</w:t>
      </w:r>
    </w:p>
    <w:p>
      <w:pPr>
        <w:pStyle w:val="Heading2"/>
        <w:spacing w:after="120" w:before="240"/>
      </w:pPr>
      <w:r>
        <w:rPr>
          <w:b w:val="false"/>
          <w:bCs w:val="false"/>
        </w:rPr>
        <w:t xml:space="preserve">2.4. Deux schémas annotés</w:t>
      </w:r>
    </w:p>
    <w:p>
      <w:pPr>
        <w:spacing w:after="140" w:line="276"/>
      </w:pPr>
      <w:r>
        <w:rPr>
          <w:b w:val="false"/>
          <w:bCs w:val="false"/>
        </w:rPr>
        <w:t xml:space="preserve">Les deux schémas ci-dessous localisent, sur un arrêt réel, chaque partie de la structure et du raisonnement : les faits constants, les moyens du pourvoi, la motivation de la cour d'appel et la réponse de la Cour de cassation.</w:t>
      </w:r>
    </w:p>
    <w:p>
      <w:pPr>
        <w:spacing w:after="40" w:before="100"/>
        <w:jc w:val="center"/>
      </w:pPr>
      <w:r>
        <w:drawing>
          <wp:inline distT="0" distB="0" distL="0" distR="0">
            <wp:extent cx="5619750" cy="5038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619750" cy="5038725"/>
                    </a:xfrm>
                    <a:prstGeom prst="rect">
                      <a:avLst/>
                    </a:prstGeom>
                  </pic:spPr>
                </pic:pic>
              </a:graphicData>
            </a:graphic>
          </wp:inline>
        </w:drawing>
      </w:r>
    </w:p>
    <w:p>
      <w:pPr>
        <w:spacing w:after="160"/>
        <w:jc w:val="center"/>
      </w:pPr>
      <w:r>
        <w:rPr>
          <w:i/>
          <w:iCs/>
          <w:color w:val="666666"/>
          <w:sz w:val="17"/>
          <w:szCs w:val="17"/>
        </w:rPr>
        <w:t xml:space="preserve">Schéma 1 — Un arrêt de cassation, partie par partie.</w:t>
      </w:r>
    </w:p>
    <w:p>
      <w:pPr>
        <w:spacing w:after="40" w:before="100"/>
        <w:jc w:val="center"/>
      </w:pPr>
      <w:r>
        <w:drawing>
          <wp:inline distT="0" distB="0" distL="0" distR="0">
            <wp:extent cx="5619750" cy="434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619750" cy="4343400"/>
                    </a:xfrm>
                    <a:prstGeom prst="rect">
                      <a:avLst/>
                    </a:prstGeom>
                  </pic:spPr>
                </pic:pic>
              </a:graphicData>
            </a:graphic>
          </wp:inline>
        </w:drawing>
      </w:r>
    </w:p>
    <w:p>
      <w:pPr>
        <w:spacing w:after="160"/>
        <w:jc w:val="center"/>
      </w:pPr>
      <w:r>
        <w:rPr>
          <w:i/>
          <w:iCs/>
          <w:color w:val="666666"/>
          <w:sz w:val="17"/>
          <w:szCs w:val="17"/>
        </w:rPr>
        <w:t xml:space="preserve">Schéma 2 — Un arrêt de rejet, partie par partie.</w:t>
      </w:r>
    </w:p>
    <w:p>
      <w:pPr>
        <w:pStyle w:val="Heading2"/>
        <w:spacing w:after="120" w:before="240"/>
      </w:pPr>
      <w:r>
        <w:rPr>
          <w:b w:val="false"/>
          <w:bCs w:val="false"/>
        </w:rPr>
        <w:t xml:space="preserve">2.5. Tableau d'équivalence avant / après 2019</w:t>
      </w:r>
    </w:p>
    <w:p>
      <w:pPr>
        <w:spacing w:after="140" w:line="276"/>
      </w:pPr>
      <w:r>
        <w:rPr>
          <w:b w:val="false"/>
          <w:bCs w:val="false"/>
        </w:rPr>
        <w:t xml:space="preserve">Chaque élément de l'ancienne rédaction a son correspondant dans la nouvelle. Le fond ne change pas, seule la présentation évolue.</w:t>
      </w:r>
    </w:p>
    <w:tbl>
      <w:tblPr>
        <w:tblW w:type="dxa" w:w="9000"/>
        <w:tblBorders>
          <w:top w:val="single" w:color="B7C4D2" w:sz="4"/>
          <w:left w:val="single" w:color="B7C4D2" w:sz="4"/>
          <w:bottom w:val="single" w:color="B7C4D2" w:sz="4"/>
          <w:right w:val="single" w:color="B7C4D2" w:sz="4"/>
          <w:insideH w:val="single" w:color="B7C4D2" w:sz="4"/>
          <w:insideV w:val="single" w:color="B7C4D2" w:sz="4"/>
        </w:tblBorders>
      </w:tblPr>
      <w:tblGrid>
        <w:gridCol w:w="4500"/>
        <w:gridCol w:w="4500"/>
      </w:tblGrid>
      <w:tr>
        <w:trPr>
          <w:tblHeader/>
        </w:trPr>
        <w:tc>
          <w:tcPr>
            <w:tcW w:type="dxa" w:w="4500"/>
            <w:shd w:fill="1F3A5F" w:color="auto" w:val="clear"/>
            <w:tcMar>
              <w:top w:type="dxa" w:w="60"/>
              <w:left w:type="dxa" w:w="110"/>
              <w:bottom w:type="dxa" w:w="60"/>
              <w:right w:type="dxa" w:w="110"/>
            </w:tcMar>
          </w:tcPr>
          <w:p>
            <w:pPr>
              <w:spacing w:after="0" w:line="248"/>
            </w:pPr>
            <w:r>
              <w:rPr>
                <w:b/>
                <w:bCs/>
                <w:color w:val="FFFFFF"/>
              </w:rPr>
              <w:t xml:space="preserve">Avant 2019 (style indirect, « attendu »)</w:t>
            </w:r>
          </w:p>
        </w:tc>
        <w:tc>
          <w:tcPr>
            <w:tcW w:type="dxa" w:w="4500"/>
            <w:shd w:fill="1F3A5F" w:color="auto" w:val="clear"/>
            <w:tcMar>
              <w:top w:type="dxa" w:w="60"/>
              <w:left w:type="dxa" w:w="110"/>
              <w:bottom w:type="dxa" w:w="60"/>
              <w:right w:type="dxa" w:w="110"/>
            </w:tcMar>
          </w:tcPr>
          <w:p>
            <w:pPr>
              <w:spacing w:after="0" w:line="248"/>
            </w:pPr>
            <w:r>
              <w:rPr>
                <w:b/>
                <w:bCs/>
                <w:color w:val="FFFFFF"/>
              </w:rPr>
              <w:t xml:space="preserve">Après 2019 (style direct, titres)</w:t>
            </w:r>
          </w:p>
        </w:tc>
      </w:tr>
      <w:tr>
        <w:tc>
          <w:tcPr>
            <w:tcW w:type="dxa" w:w="4500"/>
            <w:tcMar>
              <w:top w:type="dxa" w:w="60"/>
              <w:left w:type="dxa" w:w="110"/>
              <w:bottom w:type="dxa" w:w="60"/>
              <w:right w:type="dxa" w:w="110"/>
            </w:tcMar>
          </w:tcPr>
          <w:p>
            <w:pPr>
              <w:spacing w:after="0" w:line="248"/>
            </w:pPr>
            <w:r>
              <w:rPr>
                <w:b/>
                <w:bCs/>
              </w:rPr>
              <w:t xml:space="preserve">« Attendu, selon l'arrêt attaqué…, que » (faits en tête)</w:t>
            </w:r>
          </w:p>
        </w:tc>
        <w:tc>
          <w:tcPr>
            <w:tcW w:type="dxa" w:w="4500"/>
            <w:tcMar>
              <w:top w:type="dxa" w:w="60"/>
              <w:left w:type="dxa" w:w="110"/>
              <w:bottom w:type="dxa" w:w="60"/>
              <w:right w:type="dxa" w:w="110"/>
            </w:tcMar>
          </w:tcPr>
          <w:p>
            <w:pPr>
              <w:spacing w:after="0" w:line="248"/>
            </w:pPr>
            <w:r>
              <w:rPr>
                <w:b w:val="false"/>
                <w:bCs w:val="false"/>
              </w:rPr>
              <w:t xml:space="preserve">Partie « Faits et procédure », § 1 et suivants</w:t>
            </w:r>
          </w:p>
        </w:tc>
      </w:tr>
      <w:tr>
        <w:tc>
          <w:tcPr>
            <w:tcW w:type="dxa" w:w="4500"/>
            <w:shd w:fill="EAF0F6" w:color="auto" w:val="clear"/>
            <w:tcMar>
              <w:top w:type="dxa" w:w="60"/>
              <w:left w:type="dxa" w:w="110"/>
              <w:bottom w:type="dxa" w:w="60"/>
              <w:right w:type="dxa" w:w="110"/>
            </w:tcMar>
          </w:tcPr>
          <w:p>
            <w:pPr>
              <w:spacing w:after="0" w:line="248"/>
            </w:pPr>
            <w:r>
              <w:rPr>
                <w:b/>
                <w:bCs/>
              </w:rPr>
              <w:t xml:space="preserve">« Sur le premier moyen : »</w:t>
            </w:r>
          </w:p>
        </w:tc>
        <w:tc>
          <w:tcPr>
            <w:tcW w:type="dxa" w:w="4500"/>
            <w:shd w:fill="EAF0F6" w:color="auto" w:val="clear"/>
            <w:tcMar>
              <w:top w:type="dxa" w:w="60"/>
              <w:left w:type="dxa" w:w="110"/>
              <w:bottom w:type="dxa" w:w="60"/>
              <w:right w:type="dxa" w:w="110"/>
            </w:tcMar>
          </w:tcPr>
          <w:p>
            <w:pPr>
              <w:spacing w:after="0" w:line="248"/>
            </w:pPr>
            <w:r>
              <w:rPr>
                <w:b w:val="false"/>
                <w:bCs w:val="false"/>
              </w:rPr>
              <w:t xml:space="preserve">Titre « Examen du moyen » (ou « Sur le premier moyen »)</w:t>
            </w:r>
          </w:p>
        </w:tc>
      </w:tr>
      <w:tr>
        <w:tc>
          <w:tcPr>
            <w:tcW w:type="dxa" w:w="4500"/>
            <w:tcMar>
              <w:top w:type="dxa" w:w="60"/>
              <w:left w:type="dxa" w:w="110"/>
              <w:bottom w:type="dxa" w:w="60"/>
              <w:right w:type="dxa" w:w="110"/>
            </w:tcMar>
          </w:tcPr>
          <w:p>
            <w:pPr>
              <w:spacing w:after="0" w:line="248"/>
            </w:pPr>
            <w:r>
              <w:rPr>
                <w:b/>
                <w:bCs/>
              </w:rPr>
              <w:t xml:space="preserve">« … fait grief à l'arrêt de…, alors, selon le moyen, que… »</w:t>
            </w:r>
          </w:p>
        </w:tc>
        <w:tc>
          <w:tcPr>
            <w:tcW w:type="dxa" w:w="4500"/>
            <w:tcMar>
              <w:top w:type="dxa" w:w="60"/>
              <w:left w:type="dxa" w:w="110"/>
              <w:bottom w:type="dxa" w:w="60"/>
              <w:right w:type="dxa" w:w="110"/>
            </w:tcMar>
          </w:tcPr>
          <w:p>
            <w:pPr>
              <w:spacing w:after="0" w:line="248"/>
            </w:pPr>
            <w:r>
              <w:rPr>
                <w:b w:val="false"/>
                <w:bCs w:val="false"/>
              </w:rPr>
              <w:t xml:space="preserve">Titre « Énoncé du moyen », suivi du texte du moyen</w:t>
            </w:r>
          </w:p>
        </w:tc>
      </w:tr>
      <w:tr>
        <w:tc>
          <w:tcPr>
            <w:tcW w:type="dxa" w:w="4500"/>
            <w:shd w:fill="EAF0F6" w:color="auto" w:val="clear"/>
            <w:tcMar>
              <w:top w:type="dxa" w:w="60"/>
              <w:left w:type="dxa" w:w="110"/>
              <w:bottom w:type="dxa" w:w="60"/>
              <w:right w:type="dxa" w:w="110"/>
            </w:tcMar>
          </w:tcPr>
          <w:p>
            <w:pPr>
              <w:spacing w:after="0" w:line="248"/>
            </w:pPr>
            <w:r>
              <w:rPr>
                <w:b/>
                <w:bCs/>
              </w:rPr>
              <w:t xml:space="preserve">« Mais attendu que… » (rejet)</w:t>
            </w:r>
          </w:p>
        </w:tc>
        <w:tc>
          <w:tcPr>
            <w:tcW w:type="dxa" w:w="4500"/>
            <w:shd w:fill="EAF0F6" w:color="auto" w:val="clear"/>
            <w:tcMar>
              <w:top w:type="dxa" w:w="60"/>
              <w:left w:type="dxa" w:w="110"/>
              <w:bottom w:type="dxa" w:w="60"/>
              <w:right w:type="dxa" w:w="110"/>
            </w:tcMar>
          </w:tcPr>
          <w:p>
            <w:pPr>
              <w:spacing w:after="0" w:line="248"/>
            </w:pPr>
            <w:r>
              <w:rPr>
                <w:b w:val="false"/>
                <w:bCs w:val="false"/>
              </w:rPr>
              <w:t xml:space="preserve">Titre « Réponse de la Cour », en phrases ordinaires</w:t>
            </w:r>
          </w:p>
        </w:tc>
      </w:tr>
      <w:tr>
        <w:tc>
          <w:tcPr>
            <w:tcW w:type="dxa" w:w="4500"/>
            <w:tcMar>
              <w:top w:type="dxa" w:w="60"/>
              <w:left w:type="dxa" w:w="110"/>
              <w:bottom w:type="dxa" w:w="60"/>
              <w:right w:type="dxa" w:w="110"/>
            </w:tcMar>
          </w:tcPr>
          <w:p>
            <w:pPr>
              <w:spacing w:after="0" w:line="248"/>
            </w:pPr>
            <w:r>
              <w:rPr>
                <w:b/>
                <w:bCs/>
              </w:rPr>
              <w:t xml:space="preserve">Chapeau interne au « Mais attendu que »</w:t>
            </w:r>
          </w:p>
        </w:tc>
        <w:tc>
          <w:tcPr>
            <w:tcW w:type="dxa" w:w="4500"/>
            <w:tcMar>
              <w:top w:type="dxa" w:w="60"/>
              <w:left w:type="dxa" w:w="110"/>
              <w:bottom w:type="dxa" w:w="60"/>
              <w:right w:type="dxa" w:w="110"/>
            </w:tcMar>
          </w:tcPr>
          <w:p>
            <w:pPr>
              <w:spacing w:after="0" w:line="248"/>
            </w:pPr>
            <w:r>
              <w:rPr>
                <w:b w:val="false"/>
                <w:bCs w:val="false"/>
              </w:rPr>
              <w:t xml:space="preserve">Premier § de la réponse énonçant la règle</w:t>
            </w:r>
          </w:p>
        </w:tc>
      </w:tr>
      <w:tr>
        <w:tc>
          <w:tcPr>
            <w:tcW w:type="dxa" w:w="4500"/>
            <w:shd w:fill="EAF0F6" w:color="auto" w:val="clear"/>
            <w:tcMar>
              <w:top w:type="dxa" w:w="60"/>
              <w:left w:type="dxa" w:w="110"/>
              <w:bottom w:type="dxa" w:w="60"/>
              <w:right w:type="dxa" w:w="110"/>
            </w:tcMar>
          </w:tcPr>
          <w:p>
            <w:pPr>
              <w:spacing w:after="0" w:line="248"/>
            </w:pPr>
            <w:r>
              <w:rPr>
                <w:b/>
                <w:bCs/>
              </w:rPr>
              <w:t xml:space="preserve">« Vu l'article… » (cassation)</w:t>
            </w:r>
          </w:p>
        </w:tc>
        <w:tc>
          <w:tcPr>
            <w:tcW w:type="dxa" w:w="4500"/>
            <w:shd w:fill="EAF0F6" w:color="auto" w:val="clear"/>
            <w:tcMar>
              <w:top w:type="dxa" w:w="60"/>
              <w:left w:type="dxa" w:w="110"/>
              <w:bottom w:type="dxa" w:w="60"/>
              <w:right w:type="dxa" w:w="110"/>
            </w:tcMar>
          </w:tcPr>
          <w:p>
            <w:pPr>
              <w:spacing w:after="0" w:line="248"/>
            </w:pPr>
            <w:r>
              <w:rPr>
                <w:b w:val="false"/>
                <w:bCs w:val="false"/>
              </w:rPr>
              <w:t xml:space="preserve">« Vu l'article… », en tête de la « Réponse de la Cour »</w:t>
            </w:r>
          </w:p>
        </w:tc>
      </w:tr>
      <w:tr>
        <w:tc>
          <w:tcPr>
            <w:tcW w:type="dxa" w:w="4500"/>
            <w:tcMar>
              <w:top w:type="dxa" w:w="60"/>
              <w:left w:type="dxa" w:w="110"/>
              <w:bottom w:type="dxa" w:w="60"/>
              <w:right w:type="dxa" w:w="110"/>
            </w:tcMar>
          </w:tcPr>
          <w:p>
            <w:pPr>
              <w:spacing w:after="0" w:line="248"/>
            </w:pPr>
            <w:r>
              <w:rPr>
                <w:b/>
                <w:bCs/>
              </w:rPr>
              <w:t xml:space="preserve">« Attendu que » (chapeau, cassation)</w:t>
            </w:r>
          </w:p>
        </w:tc>
        <w:tc>
          <w:tcPr>
            <w:tcW w:type="dxa" w:w="4500"/>
            <w:tcMar>
              <w:top w:type="dxa" w:w="60"/>
              <w:left w:type="dxa" w:w="110"/>
              <w:bottom w:type="dxa" w:w="60"/>
              <w:right w:type="dxa" w:w="110"/>
            </w:tcMar>
          </w:tcPr>
          <w:p>
            <w:pPr>
              <w:spacing w:after="0" w:line="248"/>
            </w:pPr>
            <w:r>
              <w:rPr>
                <w:b w:val="false"/>
                <w:bCs w:val="false"/>
              </w:rPr>
              <w:t xml:space="preserve">§ énonçant la règle (« Il résulte de ce texte que… »)</w:t>
            </w:r>
          </w:p>
        </w:tc>
      </w:tr>
      <w:tr>
        <w:tc>
          <w:tcPr>
            <w:tcW w:type="dxa" w:w="4500"/>
            <w:shd w:fill="EAF0F6" w:color="auto" w:val="clear"/>
            <w:tcMar>
              <w:top w:type="dxa" w:w="60"/>
              <w:left w:type="dxa" w:w="110"/>
              <w:bottom w:type="dxa" w:w="60"/>
              <w:right w:type="dxa" w:w="110"/>
            </w:tcMar>
          </w:tcPr>
          <w:p>
            <w:pPr>
              <w:spacing w:after="0" w:line="248"/>
            </w:pPr>
            <w:r>
              <w:rPr>
                <w:b/>
                <w:bCs/>
              </w:rPr>
              <w:t xml:space="preserve">« Attendu que, pour…, l'arrêt retient que… » (mineure)</w:t>
            </w:r>
          </w:p>
        </w:tc>
        <w:tc>
          <w:tcPr>
            <w:tcW w:type="dxa" w:w="4500"/>
            <w:shd w:fill="EAF0F6" w:color="auto" w:val="clear"/>
            <w:tcMar>
              <w:top w:type="dxa" w:w="60"/>
              <w:left w:type="dxa" w:w="110"/>
              <w:bottom w:type="dxa" w:w="60"/>
              <w:right w:type="dxa" w:w="110"/>
            </w:tcMar>
          </w:tcPr>
          <w:p>
            <w:pPr>
              <w:spacing w:after="0" w:line="248"/>
            </w:pPr>
            <w:r>
              <w:rPr>
                <w:b w:val="false"/>
                <w:bCs w:val="false"/>
              </w:rPr>
              <w:t xml:space="preserve">§ « Pour [statuer], l'arrêt retient que… »</w:t>
            </w:r>
          </w:p>
        </w:tc>
      </w:tr>
      <w:tr>
        <w:tc>
          <w:tcPr>
            <w:tcW w:type="dxa" w:w="4500"/>
            <w:tcMar>
              <w:top w:type="dxa" w:w="60"/>
              <w:left w:type="dxa" w:w="110"/>
              <w:bottom w:type="dxa" w:w="60"/>
              <w:right w:type="dxa" w:w="110"/>
            </w:tcMar>
          </w:tcPr>
          <w:p>
            <w:pPr>
              <w:spacing w:after="0" w:line="248"/>
            </w:pPr>
            <w:r>
              <w:rPr>
                <w:b/>
                <w:bCs/>
              </w:rPr>
              <w:t xml:space="preserve">« Qu'en statuant ainsi… a violé » (conclusif)</w:t>
            </w:r>
          </w:p>
        </w:tc>
        <w:tc>
          <w:tcPr>
            <w:tcW w:type="dxa" w:w="4500"/>
            <w:tcMar>
              <w:top w:type="dxa" w:w="60"/>
              <w:left w:type="dxa" w:w="110"/>
              <w:bottom w:type="dxa" w:w="60"/>
              <w:right w:type="dxa" w:w="110"/>
            </w:tcMar>
          </w:tcPr>
          <w:p>
            <w:pPr>
              <w:spacing w:after="0" w:line="248"/>
            </w:pPr>
            <w:r>
              <w:rPr>
                <w:b w:val="false"/>
                <w:bCs w:val="false"/>
              </w:rPr>
              <w:t xml:space="preserve">§ « En statuant ainsi… a violé »</w:t>
            </w:r>
          </w:p>
        </w:tc>
      </w:tr>
      <w:tr>
        <w:tc>
          <w:tcPr>
            <w:tcW w:type="dxa" w:w="4500"/>
            <w:shd w:fill="EAF0F6" w:color="auto" w:val="clear"/>
            <w:tcMar>
              <w:top w:type="dxa" w:w="60"/>
              <w:left w:type="dxa" w:w="110"/>
              <w:bottom w:type="dxa" w:w="60"/>
              <w:right w:type="dxa" w:w="110"/>
            </w:tcMar>
          </w:tcPr>
          <w:p>
            <w:pPr>
              <w:spacing w:after="0" w:line="248"/>
            </w:pPr>
            <w:r>
              <w:rPr>
                <w:b/>
                <w:bCs/>
              </w:rPr>
              <w:t xml:space="preserve">« D'où il suit que le moyen n'est pas fondé »</w:t>
            </w:r>
          </w:p>
        </w:tc>
        <w:tc>
          <w:tcPr>
            <w:tcW w:type="dxa" w:w="4500"/>
            <w:shd w:fill="EAF0F6" w:color="auto" w:val="clear"/>
            <w:tcMar>
              <w:top w:type="dxa" w:w="60"/>
              <w:left w:type="dxa" w:w="110"/>
              <w:bottom w:type="dxa" w:w="60"/>
              <w:right w:type="dxa" w:w="110"/>
            </w:tcMar>
          </w:tcPr>
          <w:p>
            <w:pPr>
              <w:spacing w:after="0" w:line="248"/>
            </w:pPr>
            <w:r>
              <w:rPr>
                <w:b w:val="false"/>
                <w:bCs w:val="false"/>
              </w:rPr>
              <w:t xml:space="preserve">« Le moyen n'est donc pas fondé »</w:t>
            </w:r>
          </w:p>
        </w:tc>
      </w:tr>
      <w:tr>
        <w:tc>
          <w:tcPr>
            <w:tcW w:type="dxa" w:w="4500"/>
            <w:tcMar>
              <w:top w:type="dxa" w:w="60"/>
              <w:left w:type="dxa" w:w="110"/>
              <w:bottom w:type="dxa" w:w="60"/>
              <w:right w:type="dxa" w:w="110"/>
            </w:tcMar>
          </w:tcPr>
          <w:p>
            <w:pPr>
              <w:spacing w:after="0" w:line="248"/>
            </w:pPr>
            <w:r>
              <w:rPr>
                <w:b/>
                <w:bCs/>
              </w:rPr>
              <w:t xml:space="preserve">« PAR CES MOTIFS : REJETTE / CASSE »</w:t>
            </w:r>
          </w:p>
        </w:tc>
        <w:tc>
          <w:tcPr>
            <w:tcW w:type="dxa" w:w="4500"/>
            <w:tcMar>
              <w:top w:type="dxa" w:w="60"/>
              <w:left w:type="dxa" w:w="110"/>
              <w:bottom w:type="dxa" w:w="60"/>
              <w:right w:type="dxa" w:w="110"/>
            </w:tcMar>
          </w:tcPr>
          <w:p>
            <w:pPr>
              <w:spacing w:after="0" w:line="248"/>
            </w:pPr>
            <w:r>
              <w:rPr>
                <w:b w:val="false"/>
                <w:bCs w:val="false"/>
              </w:rPr>
              <w:t xml:space="preserve">Inchangé : « PAR CES MOTIFS » + dispositif</w:t>
            </w:r>
          </w:p>
        </w:tc>
      </w:tr>
      <w:tr>
        <w:tc>
          <w:tcPr>
            <w:tcW w:type="dxa" w:w="4500"/>
            <w:shd w:fill="EAF0F6" w:color="auto" w:val="clear"/>
            <w:tcMar>
              <w:top w:type="dxa" w:w="60"/>
              <w:left w:type="dxa" w:w="110"/>
              <w:bottom w:type="dxa" w:w="60"/>
              <w:right w:type="dxa" w:w="110"/>
            </w:tcMar>
          </w:tcPr>
          <w:p>
            <w:pPr>
              <w:spacing w:after="0" w:line="248"/>
            </w:pPr>
            <w:r>
              <w:rPr>
                <w:b/>
                <w:bCs/>
              </w:rPr>
              <w:t xml:space="preserve">Phrase unique, subjonctif, « que » enchâssés</w:t>
            </w:r>
          </w:p>
        </w:tc>
        <w:tc>
          <w:tcPr>
            <w:tcW w:type="dxa" w:w="4500"/>
            <w:shd w:fill="EAF0F6" w:color="auto" w:val="clear"/>
            <w:tcMar>
              <w:top w:type="dxa" w:w="60"/>
              <w:left w:type="dxa" w:w="110"/>
              <w:bottom w:type="dxa" w:w="60"/>
              <w:right w:type="dxa" w:w="110"/>
            </w:tcMar>
          </w:tcPr>
          <w:p>
            <w:pPr>
              <w:spacing w:after="0" w:line="248"/>
            </w:pPr>
            <w:r>
              <w:rPr>
                <w:b w:val="false"/>
                <w:bCs w:val="false"/>
              </w:rPr>
              <w:t xml:space="preserve">Phrases courtes, présent, paragraphes numérotés</w:t>
            </w:r>
          </w:p>
        </w:tc>
      </w:tr>
    </w:tbl>
    <w:p>
      <w:pPr>
        <w:pStyle w:val="Heading2"/>
        <w:spacing w:after="120" w:before="240"/>
      </w:pPr>
      <w:r>
        <w:rPr>
          <w:b w:val="false"/>
          <w:bCs w:val="false"/>
        </w:rPr>
        <w:t xml:space="preserve">2.6. Un même arrêt, deux rédactions</w:t>
      </w:r>
    </w:p>
    <w:p>
      <w:pPr>
        <w:spacing w:after="140" w:line="276"/>
      </w:pPr>
      <w:r>
        <w:rPr>
          <w:b w:val="false"/>
          <w:bCs w:val="false"/>
        </w:rPr>
        <w:t xml:space="preserve">Pour voir les équivalences en action, voici un arrêt de rejet réel, d'abord dans sa version d'origine (avant 2019), puis réécrit selon la présentation actuelle.</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Version d'origine (avant 2019, style indirect)</w:t>
            </w:r>
          </w:p>
          <w:p>
            <w:pPr>
              <w:spacing w:after="60" w:line="264"/>
            </w:pPr>
            <w:r>
              <w:rPr>
                <w:b w:val="false"/>
                <w:bCs w:val="false"/>
                <w:i/>
                <w:iCs/>
                <w:color w:val="2B2B2B"/>
                <w:sz w:val="20"/>
                <w:szCs w:val="20"/>
              </w:rPr>
              <w:t xml:space="preserve">« Mais attendu que l'article L. 1233-25 du code du travail ne fait obligation à l'employeur de mettre en œuvre un plan de sauvegarde de l'emploi que lorsque dix salariés au moins ont refusé la modification d'un élément essentiel de leur contrat de travail […] ;</w:t>
            </w:r>
          </w:p>
          <w:p>
            <w:pPr>
              <w:spacing w:after="60" w:line="264"/>
            </w:pPr>
            <w:r>
              <w:rPr>
                <w:b w:val="false"/>
                <w:bCs w:val="false"/>
                <w:i/>
                <w:iCs/>
                <w:color w:val="2B2B2B"/>
                <w:sz w:val="20"/>
                <w:szCs w:val="20"/>
              </w:rPr>
              <w:t xml:space="preserve">Et attendu qu'après avoir constaté […] qu'à la suite du refus de vingt et un salariés […], la société Matest a modifié son projet de réorganisation […] et a procédé à une nouvelle consultation […] sur un projet de licenciement concernant moins de dix salariés, la cour d'appel en a déduit à bon droit que l'employeur n'était pas tenu de mettre en œuvre un plan de sauvegarde de l'emploi ;</w:t>
            </w:r>
          </w:p>
          <w:p>
            <w:pPr>
              <w:spacing w:after="60" w:line="264"/>
            </w:pPr>
            <w:r>
              <w:rPr>
                <w:b w:val="false"/>
                <w:bCs w:val="false"/>
                <w:i/>
                <w:iCs/>
                <w:color w:val="2B2B2B"/>
                <w:sz w:val="20"/>
                <w:szCs w:val="20"/>
              </w:rPr>
              <w:t xml:space="preserve">D'où il suit que le moyen n'est pas fondé ; »</w:t>
            </w:r>
          </w:p>
          <w:p>
            <w:pPr>
              <w:spacing w:after="0"/>
            </w:pPr>
            <w:r>
              <w:rPr>
                <w:color w:val="6A6A6A"/>
                <w:sz w:val="16"/>
                <w:szCs w:val="16"/>
              </w:rPr>
              <w:t xml:space="preserve">Soc., 24 janvier 2018, n° 16-22.940</w:t>
            </w:r>
          </w:p>
        </w:tc>
      </w:tr>
    </w:tbl>
    <w:p>
      <w:pPr>
        <w:spacing w:after="60"/>
      </w:pP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Le même arrêt réécrit (après 2019, style direct)</w:t>
            </w:r>
          </w:p>
          <w:p>
            <w:pPr>
              <w:spacing w:after="60" w:line="264"/>
            </w:pPr>
            <w:r>
              <w:rPr>
                <w:b w:val="false"/>
                <w:bCs w:val="false"/>
                <w:i/>
                <w:iCs/>
                <w:color w:val="2B2B2B"/>
                <w:sz w:val="20"/>
                <w:szCs w:val="20"/>
              </w:rPr>
              <w:t xml:space="preserve">Réponse de la Cour</w:t>
            </w:r>
          </w:p>
          <w:p>
            <w:pPr>
              <w:spacing w:after="60" w:line="264"/>
            </w:pPr>
            <w:r>
              <w:rPr>
                <w:b w:val="false"/>
                <w:bCs w:val="false"/>
                <w:i/>
                <w:iCs/>
                <w:color w:val="2B2B2B"/>
                <w:sz w:val="20"/>
                <w:szCs w:val="20"/>
              </w:rPr>
              <w:t xml:space="preserve">5. Selon l'article L. 1233-25 du code du travail, l'employeur n'est tenu de mettre en œuvre un plan de sauvegarde de l'emploi que lorsque dix salariés au moins ont refusé la modification d'un élément essentiel de leur contrat de travail pour un motif économique.</w:t>
            </w:r>
          </w:p>
          <w:p>
            <w:pPr>
              <w:spacing w:after="60" w:line="264"/>
            </w:pPr>
            <w:r>
              <w:rPr>
                <w:b w:val="false"/>
                <w:bCs w:val="false"/>
                <w:i/>
                <w:iCs/>
                <w:color w:val="2B2B2B"/>
                <w:sz w:val="20"/>
                <w:szCs w:val="20"/>
              </w:rPr>
              <w:t xml:space="preserve">6. Après avoir constaté que, à la suite du refus de vingt et un salariés de voir modifier leur contrat et d'être mutés, la société a modifié son projet de réorganisation et procédé à une nouvelle consultation sur un projet de licenciement concernant moins de dix salariés, la cour d'appel en a déduit, à bon droit, que l'employeur n'était pas tenu de mettre en œuvre un tel plan.</w:t>
            </w:r>
          </w:p>
          <w:p>
            <w:pPr>
              <w:spacing w:after="60" w:line="264"/>
            </w:pPr>
            <w:r>
              <w:rPr>
                <w:b w:val="false"/>
                <w:bCs w:val="false"/>
                <w:i/>
                <w:iCs/>
                <w:color w:val="2B2B2B"/>
                <w:sz w:val="20"/>
                <w:szCs w:val="20"/>
              </w:rPr>
              <w:t xml:space="preserve">7. Le moyen n'est donc pas fondé.</w:t>
            </w:r>
          </w:p>
          <w:p>
            <w:pPr>
              <w:spacing w:after="0"/>
            </w:pPr>
            <w:r>
              <w:rPr>
                <w:color w:val="6A6A6A"/>
                <w:sz w:val="16"/>
                <w:szCs w:val="16"/>
              </w:rPr>
              <w:t xml:space="preserve">Réécriture selon la présentation actuelle (l'« Énoncé du moyen » précéderait ce passage)</w:t>
            </w:r>
          </w:p>
        </w:tc>
      </w:tr>
    </w:tbl>
    <w:p>
      <w:pPr>
        <w:spacing w:after="140" w:line="276"/>
      </w:pPr>
      <w:r>
        <w:rPr>
          <w:b/>
          <w:bCs/>
        </w:rPr>
        <w:t xml:space="preserve">Ce qui change :</w:t>
      </w:r>
      <w:r>
        <w:rPr>
          <w:b w:val="false"/>
          <w:bCs w:val="false"/>
        </w:rPr>
        <w:t xml:space="preserve"> le « Mais attendu que » devient le titre « Réponse de la Cour » ; la phrase unique se scinde en paragraphes numérotés ; le subjonctif et les « que » enchâssés cèdent la place au présent ; « D'où il suit que » devient « Le moyen n'est donc pas fondé ».</w:t>
      </w:r>
    </w:p>
    <w:p>
      <w:pPr>
        <w:spacing w:after="140" w:line="276"/>
      </w:pPr>
      <w:r>
        <w:rPr>
          <w:b/>
          <w:bCs/>
        </w:rPr>
        <w:t xml:space="preserve">Ce qui ne change pas :</w:t>
      </w:r>
      <w:r>
        <w:rPr>
          <w:b w:val="false"/>
          <w:bCs w:val="false"/>
        </w:rPr>
        <w:t xml:space="preserve"> le chapeau intérieur (la règle tirée de l'article L. 1233-25), le contrôle exercé (« à bon droit » : contrôle lourd), et la structure du raisonnement. Un étudiant qui sait lire l'un sait lire l'autre.</w:t>
      </w:r>
    </w:p>
    <w:p>
      <w:pPr>
        <w:pStyle w:val="Heading1"/>
        <w:spacing w:after="160" w:before="340"/>
      </w:pPr>
      <w:r>
        <w:rPr>
          <w:b w:val="false"/>
          <w:bCs w:val="false"/>
        </w:rPr>
        <w:t xml:space="preserve">3. Les moyens, les branches et les moyens annexés</w:t>
      </w:r>
    </w:p>
    <w:p>
      <w:pPr>
        <w:spacing w:after="140" w:line="276"/>
      </w:pPr>
      <w:r>
        <w:rPr>
          <w:b w:val="false"/>
          <w:bCs w:val="false"/>
        </w:rPr>
        <w:t xml:space="preserve">Le pourvoi est bâti en moyens, eux-mêmes divisés en branches. Distinguer les deux, et comprendre comment la Cour les traite, évite de croire qu'un arrêt a jugé ce qu'il a en réalité laissé de côté.</w:t>
      </w:r>
    </w:p>
    <w:p>
      <w:pPr>
        <w:pStyle w:val="Heading2"/>
        <w:spacing w:after="120" w:before="240"/>
      </w:pPr>
      <w:r>
        <w:rPr>
          <w:b w:val="false"/>
          <w:bCs w:val="false"/>
        </w:rPr>
        <w:t xml:space="preserve">3.1. Moyens et branches : comment le pourvoi est bâti</w:t>
      </w:r>
    </w:p>
    <w:p>
      <w:pPr>
        <w:spacing w:after="140" w:line="276"/>
      </w:pPr>
      <w:r>
        <w:rPr>
          <w:b w:val="false"/>
          <w:bCs w:val="false"/>
        </w:rPr>
        <w:t xml:space="preserve">Un pourvoi articule un ou plusieurs </w:t>
      </w:r>
      <w:r>
        <w:rPr>
          <w:b/>
          <w:bCs/>
        </w:rPr>
        <w:t xml:space="preserve">moyens</w:t>
      </w:r>
      <w:r>
        <w:rPr>
          <w:b w:val="false"/>
          <w:bCs w:val="false"/>
        </w:rPr>
        <w:t xml:space="preserve"> de cassation. Chaque moyen critique un chef précis du dispositif de l'arrêt attaqué et invoque un ou plusieurs cas d'ouverture. Le moyen est le plus souvent subdivisé en </w:t>
      </w:r>
      <w:r>
        <w:rPr>
          <w:b/>
          <w:bCs/>
        </w:rPr>
        <w:t xml:space="preserve">branches</w:t>
      </w:r>
      <w:r>
        <w:rPr>
          <w:b w:val="false"/>
          <w:bCs w:val="false"/>
        </w:rPr>
        <w:t xml:space="preserve">, numérotées 1°/, 2°/, 3°/, chacune portant un grief distinct. Rédigés par l'avocat aux Conseils, moyens et branches obéissent, à peine d'irrecevabilité, à l'article 978 du code de procédure civile.</w:t>
      </w:r>
    </w:p>
    <w:p>
      <w:pPr>
        <w:spacing w:after="140" w:line="276"/>
      </w:pPr>
      <w:r>
        <w:rPr>
          <w:b w:val="false"/>
          <w:bCs w:val="false"/>
        </w:rPr>
        <w:t xml:space="preserve">La branche est en réalité l'unité pertinente de l'analyse. Une branche ne doit invoquer qu'un seul cas d'ouverture : une branche qui en mêle plusieurs est dite « complexe » et, à ce titre, irrecevable. Quand vous lisez un arrêt, raisonnez branche par branche, et non moyen par moyen.</w:t>
      </w:r>
    </w:p>
    <w:p>
      <w:pPr>
        <w:spacing w:after="140" w:line="276"/>
      </w:pPr>
      <w:r>
        <w:rPr>
          <w:b w:val="false"/>
          <w:bCs w:val="false"/>
        </w:rPr>
        <w:t xml:space="preserve">La présentation est stéréotypée : « M. X fait grief à l'arrêt de [chef du dispositif critiqué], alors : 1°/… 2°/… ». Dans la rédaction actuelle, la numérotation des branches reprise dans l'arrêt correspond exactement à celle du moyen rédigé par l'avocat.</w:t>
      </w:r>
    </w:p>
    <w:p>
      <w:pPr>
        <w:pStyle w:val="Heading2"/>
        <w:spacing w:after="120" w:before="240"/>
      </w:pPr>
      <w:r>
        <w:rPr>
          <w:b w:val="false"/>
          <w:bCs w:val="false"/>
        </w:rPr>
        <w:t xml:space="preserve">3.2. Le traitement des branches : examen séparé ou réuni, et pas toujours complet</w:t>
      </w:r>
    </w:p>
    <w:p>
      <w:pPr>
        <w:spacing w:after="140" w:line="276"/>
      </w:pPr>
      <w:r>
        <w:rPr>
          <w:b w:val="false"/>
          <w:bCs w:val="false"/>
        </w:rPr>
        <w:t xml:space="preserve">La Cour n'est tenue ni de traiter chaque branche isolément, ni de toutes les traiter. Trois cas de figure à connaître.</w:t>
      </w:r>
    </w:p>
    <w:p>
      <w:pPr>
        <w:spacing w:after="140" w:line="276"/>
      </w:pPr>
      <w:r>
        <w:rPr>
          <w:b/>
          <w:bCs/>
        </w:rPr>
        <w:t xml:space="preserve">L'examen séparé.</w:t>
      </w:r>
      <w:r>
        <w:rPr>
          <w:b w:val="false"/>
          <w:bCs w:val="false"/>
        </w:rPr>
        <w:t xml:space="preserve"> La Cour isole une branche : « Sur le premier moyen, pris en sa première branche ». Elle y répond, puis passe à la suivante. C'est le mode le plus fréquent.</w:t>
      </w:r>
    </w:p>
    <w:p>
      <w:pPr>
        <w:spacing w:after="140" w:line="276"/>
      </w:pPr>
      <w:r>
        <w:rPr>
          <w:b/>
          <w:bCs/>
        </w:rPr>
        <w:t xml:space="preserve">L'examen réuni.</w:t>
      </w:r>
      <w:r>
        <w:rPr>
          <w:b w:val="false"/>
          <w:bCs w:val="false"/>
        </w:rPr>
        <w:t xml:space="preserve"> Quand plusieurs moyens ou branches posent une question commune, la Cour les examine ensemble : « Sur les premier et second moyens, réunis ». La réponse vaut alors pour l'ensemble : lisez-la comme une réponse globale, non comme une prise de position sur chaque grief pris à part.</w:t>
      </w:r>
    </w:p>
    <w:p>
      <w:pPr>
        <w:spacing w:after="140" w:line="276"/>
      </w:pPr>
      <w:r>
        <w:rPr>
          <w:b/>
          <w:bCs/>
        </w:rPr>
        <w:t xml:space="preserve">Toutes les branches ne sont pas traitées.</w:t>
      </w:r>
      <w:r>
        <w:rPr>
          <w:b w:val="false"/>
          <w:bCs w:val="false"/>
        </w:rPr>
        <w:t xml:space="preserve"> Certaines peuvent être écartées par un rejet non spécialement motivé (article 1014) tandis que d'autres sont examinées : la numérotation devient alors discontinue (un examen « en ses deuxième et troisième branches » commence à « 2°/ », la première ayant été écartée). En cas de cassation, la Cour casse souvent sur une seule branche et ajoute : « et sans qu'il y ait lieu de statuer sur les autres branches ». Ces branches deviennent sans objet : la Cour n'a pris aucune position sur elles, ne leur en prêtez aucune.</w:t>
      </w:r>
    </w:p>
    <w:p>
      <w:pPr>
        <w:spacing w:after="140" w:line="276"/>
      </w:pPr>
      <w:r>
        <w:rPr>
          <w:b w:val="false"/>
          <w:bCs w:val="false"/>
        </w:rPr>
        <w:t xml:space="preserve">Une branche peut enfin être déclarée irrecevable (nouvelle, imprécise, complexe, sans relation avec le chef critiqué, contraire à la position soutenue devant les juges du fond), inopérante, ou manquant en fait, avant que les autres soient examinées. D'où la formule mixte : « le moyen, irrecevable en sa première branche, n'est pas fondé pour le surplus ».</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À repérer — le sort des branches</w:t>
            </w:r>
          </w:p>
          <w:p>
            <w:pPr>
              <w:spacing w:after="60" w:line="264"/>
            </w:pPr>
            <w:r>
              <w:rPr>
                <w:b w:val="false"/>
                <w:bCs w:val="false"/>
                <w:i/>
                <w:iCs/>
                <w:color w:val="2B2B2B"/>
                <w:sz w:val="20"/>
                <w:szCs w:val="20"/>
              </w:rPr>
              <w:t xml:space="preserve">« Sur le moyen unique, pris en sa deuxième branche »  (examen séparé)</w:t>
            </w:r>
          </w:p>
          <w:p>
            <w:pPr>
              <w:spacing w:after="60" w:line="264"/>
            </w:pPr>
            <w:r>
              <w:rPr>
                <w:b w:val="false"/>
                <w:bCs w:val="false"/>
                <w:i/>
                <w:iCs/>
                <w:color w:val="2B2B2B"/>
                <w:sz w:val="20"/>
                <w:szCs w:val="20"/>
              </w:rPr>
              <w:t xml:space="preserve">« Sur les premier et deuxième moyens, réunis »  (examen groupé)</w:t>
            </w:r>
          </w:p>
          <w:p>
            <w:pPr>
              <w:spacing w:after="60" w:line="264"/>
            </w:pPr>
            <w:r>
              <w:rPr>
                <w:b w:val="false"/>
                <w:bCs w:val="false"/>
                <w:i/>
                <w:iCs/>
                <w:color w:val="2B2B2B"/>
                <w:sz w:val="20"/>
                <w:szCs w:val="20"/>
              </w:rPr>
              <w:t xml:space="preserve">« PAR CES MOTIFS, et sans qu'il y ait lieu de statuer sur la troisième branche du moyen : CASSE »  (branche laissée de côté)</w:t>
            </w:r>
          </w:p>
          <w:p>
            <w:pPr>
              <w:spacing w:after="80"/>
            </w:pPr>
            <w:r>
              <w:rPr>
                <w:color w:val="6A6A6A"/>
                <w:sz w:val="16"/>
                <w:szCs w:val="16"/>
              </w:rPr>
              <w:t xml:space="preserve">Formules-types de la Cour de cassation</w:t>
            </w:r>
          </w:p>
          <w:p>
            <w:pPr>
              <w:spacing w:after="0" w:line="264"/>
            </w:pPr>
            <w:r>
              <w:rPr>
                <w:b/>
                <w:bCs/>
                <w:color w:val="2E4C6E"/>
                <w:sz w:val="20"/>
                <w:szCs w:val="20"/>
              </w:rPr>
              <w:t xml:space="preserve">À lire ainsi : </w:t>
            </w:r>
            <w:r>
              <w:rPr>
                <w:b w:val="false"/>
                <w:bCs w:val="false"/>
                <w:sz w:val="20"/>
                <w:szCs w:val="20"/>
              </w:rPr>
              <w:t xml:space="preserve">une numérotation qui ne commence pas à « 1°/ », ou la formule « sans qu'il y ait lieu de statuer sur les autres branches », vous avertit que certaines branches n'ont pas été jugées. Ne présumez jamais que tout le moyen a été tranché.</w:t>
            </w:r>
          </w:p>
        </w:tc>
      </w:tr>
    </w:tbl>
    <w:p>
      <w:pPr>
        <w:pStyle w:val="Heading2"/>
        <w:spacing w:after="120" w:before="240"/>
      </w:pPr>
      <w:r>
        <w:rPr>
          <w:b w:val="false"/>
          <w:bCs w:val="false"/>
        </w:rPr>
        <w:t xml:space="preserve">3.3. Les moyens annexés et leur disparition</w:t>
      </w:r>
    </w:p>
    <w:p>
      <w:pPr>
        <w:spacing w:after="140" w:line="276"/>
      </w:pPr>
      <w:r>
        <w:rPr>
          <w:b w:val="false"/>
          <w:bCs w:val="false"/>
        </w:rPr>
        <w:t xml:space="preserve">Il existe une raison historique de s'intéresser aux branches dans leur rédaction d'origine. Longtemps, le texte intégral des moyens, tel que rédigé par l'avocat aux Conseils, était reproduit en annexe de l'arrêt (« Moyen produit par… annexé au présent arrêt »). Cette annexe donnait accès à la formulation complète des griefs.</w:t>
      </w:r>
    </w:p>
    <w:p>
      <w:pPr>
        <w:spacing w:after="140" w:line="276"/>
      </w:pPr>
      <w:r>
        <w:rPr>
          <w:b w:val="false"/>
          <w:bCs w:val="false"/>
        </w:rPr>
        <w:t xml:space="preserve">La rédaction actuelle a changé la donne pour les arrêts motivés. Le moyen y est désormais reproduit dans le corps de l'arrêt, sous l'intitulé « Énoncé du moyen », tel qu'il a été rédigé par l'avocat, sans modification. L'annexe y perd son utilité. Il faut le souligner, car c'est un contrepoint à une idée reçue : dans un arrêt motivé récent, vous lisez le moyen dans sa version d'origine, non une reformulation. La reformulation résumée ne se rencontre que dans la rédaction ancienne (« … fait grief à l'arrêt de…, alors, selon le moyen, que… »), où l'arrêt condensait le moyen et où l'annexe, seule, en livrait le texte intégral.</w:t>
      </w:r>
    </w:p>
    <w:p>
      <w:pPr>
        <w:spacing w:after="140" w:line="276"/>
      </w:pPr>
      <w:r>
        <w:rPr>
          <w:b w:val="false"/>
          <w:bCs w:val="false"/>
        </w:rPr>
        <w:t xml:space="preserve">Le point sensible concerne les </w:t>
      </w:r>
      <w:r>
        <w:rPr>
          <w:b/>
          <w:bCs/>
        </w:rPr>
        <w:t xml:space="preserve">arrêts de rejet non spécialement motivés</w:t>
      </w:r>
      <w:r>
        <w:rPr>
          <w:b w:val="false"/>
          <w:bCs w:val="false"/>
        </w:rPr>
        <w:t xml:space="preserve"> (article 1014) : ni « Énoncé du moyen », ni motivation. Pour eux, l'annexe était la seule fenêtre sur ce qui avait été plaidé. Or cette annexe a disparu. Pratiquée en matière civile </w:t>
      </w:r>
      <w:r>
        <w:rPr>
          <w:b/>
          <w:bCs/>
        </w:rPr>
        <w:t xml:space="preserve">de 1986 à 2023</w:t>
      </w:r>
      <w:r>
        <w:rPr>
          <w:b w:val="false"/>
          <w:bCs w:val="false"/>
        </w:rPr>
        <w:t xml:space="preserve">, l'annexion des moyens aux arrêts de rejet non spécialement motivés a cessé en 2023.</w:t>
      </w:r>
    </w:p>
    <w:p>
      <w:pPr>
        <w:spacing w:after="140" w:line="276"/>
      </w:pPr>
      <w:r>
        <w:rPr>
          <w:b w:val="false"/>
          <w:bCs w:val="false"/>
        </w:rPr>
        <w:t xml:space="preserve">Pourquoi ? Le contexte est celui de l'open data des décisions de justice, diffusées intégralement et pseudonymisées depuis le 30 septembre 2021. Reproduire le mémoire d'une partie dans la décision diffusée soulevait des difficultés, et l'on a fait valoir que le moyen annexé, qui n'est que l'argument du perdant, pouvait être pris à tort pour la règle posée par la Cour, confusion accentuée par la réutilisation automatisée des décisions (legaltech, intelligence artificielle générative).</w:t>
      </w:r>
    </w:p>
    <w:p>
      <w:pPr>
        <w:spacing w:after="140" w:line="276"/>
      </w:pPr>
      <w:r>
        <w:rPr>
          <w:b w:val="false"/>
          <w:bCs w:val="false"/>
        </w:rPr>
        <w:t xml:space="preserve">Une proposition de loi déposée en 2025 (ouverture avancée des données judiciaires) prévoit de rétablir l'annexion des moyens aux arrêts de rejet non spécialement motivés en matière civile, dans un but d'intelligibilité, sous réserve de son adoption et avec une entrée en vigueur différée. Conséquence pratique pour vous : pour un arrêt de rejet non spécialement motivé récent, la décision diffusée ne montre pas les moyens ; pour les arrêts plus anciens, le texte annexé reste précieux, car il livre les griefs dans leur rédaction intégrale, branche par branche.</w:t>
      </w:r>
    </w:p>
    <w:p>
      <w:pPr>
        <w:pStyle w:val="Heading1"/>
        <w:spacing w:after="160" w:before="340"/>
      </w:pPr>
      <w:r>
        <w:rPr>
          <w:b w:val="false"/>
          <w:bCs w:val="false"/>
        </w:rPr>
        <w:t xml:space="preserve">4. Identifier le cas d'ouverture et le sens de la réponse</w:t>
      </w:r>
    </w:p>
    <w:p>
      <w:pPr>
        <w:spacing w:after="140" w:line="276"/>
      </w:pPr>
      <w:r>
        <w:rPr>
          <w:b w:val="false"/>
          <w:bCs w:val="false"/>
        </w:rPr>
        <w:t xml:space="preserve">Le cas d'ouverture est le vice juridique invoqué. Son identification commande tout, car un même verbe de censure ne pèse pas le même poids selon le vice qu'il sanctionne.</w:t>
      </w:r>
    </w:p>
    <w:p>
      <w:pPr>
        <w:spacing w:after="140" w:line="276"/>
      </w:pPr>
      <w:r>
        <w:rPr>
          <w:b/>
          <w:bCs/>
        </w:rPr>
        <w:t xml:space="preserve">Côté cassation :</w:t>
      </w:r>
      <w:r>
        <w:rPr>
          <w:b w:val="false"/>
          <w:bCs w:val="false"/>
        </w:rPr>
        <w:t xml:space="preserve"> violation de la loi (fausse application, refus d'application, fausse interprétation), manque de base légale, défaut de motifs et défaut de réponse à conclusions (articles 455 et 458), dénaturation, excès de pouvoir, méconnaissance des termes du litige (article 4), violation du contradictoire (article 16).</w:t>
      </w:r>
    </w:p>
    <w:p>
      <w:pPr>
        <w:spacing w:after="140" w:line="276"/>
      </w:pPr>
      <w:r>
        <w:rPr>
          <w:b/>
          <w:bCs/>
        </w:rPr>
        <w:t xml:space="preserve">Côté rejet :</w:t>
      </w:r>
      <w:r>
        <w:rPr>
          <w:b w:val="false"/>
          <w:bCs w:val="false"/>
        </w:rPr>
        <w:t xml:space="preserve"> le moyen peut être irrecevable (nouveau, mélangé de fait et de droit, imprécis, contraire aux propres conclusions d'appel), inopérant, manquant en fait, ou rejeté au fond.</w:t>
      </w:r>
    </w:p>
    <w:p>
      <w:pPr>
        <w:spacing w:after="140" w:line="276"/>
      </w:pPr>
      <w:r>
        <w:rPr>
          <w:b w:val="false"/>
          <w:bCs w:val="false"/>
        </w:rPr>
        <w:t xml:space="preserve">Deux formules trompent souvent. « </w:t>
      </w:r>
      <w:r>
        <w:rPr>
          <w:b/>
          <w:bCs/>
        </w:rPr>
        <w:t xml:space="preserve">Le moyen manque en fait</w:t>
      </w:r>
      <w:r>
        <w:rPr>
          <w:b w:val="false"/>
          <w:bCs w:val="false"/>
        </w:rPr>
        <w:t xml:space="preserve"> » signifie que le moyen prête à l'arrêt ce qu'il ne dit pas : c'est le moyen qui se trompe. La « </w:t>
      </w:r>
      <w:r>
        <w:rPr>
          <w:b/>
          <w:bCs/>
        </w:rPr>
        <w:t xml:space="preserve">non-admission</w:t>
      </w:r>
      <w:r>
        <w:rPr>
          <w:b w:val="false"/>
          <w:bCs w:val="false"/>
        </w:rPr>
        <w:t xml:space="preserve"> » (article 1014) n'est pas un vrai arrêt et n'a aucune portée : elle traduit la faiblesse des moyens. Ne bâtissez jamais une démonstration sur une non-admission.</w:t>
      </w:r>
    </w:p>
    <w:p>
      <w:pPr>
        <w:pStyle w:val="Heading1"/>
        <w:spacing w:after="160" w:before="340"/>
      </w:pPr>
      <w:r>
        <w:rPr>
          <w:b w:val="false"/>
          <w:bCs w:val="false"/>
        </w:rPr>
        <w:t xml:space="preserve">5. Le cœur de l'analyse : mesurer le poids par la nature du contrôle</w:t>
      </w:r>
    </w:p>
    <w:p>
      <w:pPr>
        <w:spacing w:after="140" w:line="276"/>
      </w:pPr>
      <w:r>
        <w:rPr>
          <w:b w:val="false"/>
          <w:bCs w:val="false"/>
        </w:rPr>
        <w:t xml:space="preserve">La Cour n'exerce pas partout le même contrôle, et l'intensité de ce contrôle dit combien l'arrêt pèse. Un lecteur pressé lit la solution ; un bon lecteur lit d'abord </w:t>
      </w:r>
      <w:r>
        <w:rPr>
          <w:b/>
          <w:bCs/>
        </w:rPr>
        <w:t xml:space="preserve">comment</w:t>
      </w:r>
      <w:r>
        <w:rPr>
          <w:b w:val="false"/>
          <w:bCs w:val="false"/>
        </w:rPr>
        <w:t xml:space="preserve"> la Cour approuve ou censure. Le contrôle de fond connaît quatre intensités, de la plus faible à la plus forte.</w:t>
      </w:r>
    </w:p>
    <w:p>
      <w:pPr>
        <w:pStyle w:val="Heading3"/>
        <w:spacing w:after="100" w:before="180"/>
      </w:pPr>
      <w:r>
        <w:rPr>
          <w:b w:val="false"/>
          <w:bCs w:val="false"/>
        </w:rPr>
        <w:t xml:space="preserve">5.1. Le pouvoir discrétionnaire : aucun contrôle</w:t>
      </w:r>
    </w:p>
    <w:p>
      <w:pPr>
        <w:spacing w:after="140" w:line="276"/>
      </w:pPr>
      <w:r>
        <w:rPr>
          <w:b w:val="false"/>
          <w:bCs w:val="false"/>
        </w:rPr>
        <w:t xml:space="preserve">Le juge n'a même pas à motiver (délais de paiement, modération d'une clause pénale, charge des dépens). L'arrêt relève l'usage d'un « pouvoir discrétionnaire ». Portée normative : nulle.</w:t>
      </w:r>
    </w:p>
    <w:p>
      <w:pPr>
        <w:pStyle w:val="Heading3"/>
        <w:spacing w:after="100" w:before="180"/>
      </w:pPr>
      <w:r>
        <w:rPr>
          <w:b w:val="false"/>
          <w:bCs w:val="false"/>
        </w:rPr>
        <w:t xml:space="preserve">5.2. Le pouvoir souverain : contrôle limité à l'existence d'une motivation</w:t>
      </w:r>
    </w:p>
    <w:p>
      <w:pPr>
        <w:spacing w:after="140" w:line="276"/>
      </w:pPr>
      <w:r>
        <w:rPr>
          <w:b w:val="false"/>
          <w:bCs w:val="false"/>
        </w:rPr>
        <w:t xml:space="preserve">Le juge apprécie « souverainement » les faits, et ces faits s'imposent à la Cour. Formules : « </w:t>
      </w:r>
      <w:r>
        <w:rPr>
          <w:b/>
          <w:bCs/>
        </w:rPr>
        <w:t xml:space="preserve">a souverainement retenu</w:t>
      </w:r>
      <w:r>
        <w:rPr>
          <w:b w:val="false"/>
          <w:bCs w:val="false"/>
        </w:rPr>
        <w:t xml:space="preserve"> », « </w:t>
      </w:r>
      <w:r>
        <w:rPr>
          <w:b/>
          <w:bCs/>
        </w:rPr>
        <w:t xml:space="preserve">a constaté</w:t>
      </w:r>
      <w:r>
        <w:rPr>
          <w:b w:val="false"/>
          <w:bCs w:val="false"/>
        </w:rPr>
        <w:t xml:space="preserve"> », « dans l'exercice de son pouvoir souverain d'appréciation ». La seule mention « a retenu », « a relevé », « a décidé » sous-entend déjà la souveraineté : aucune critique, donc aucun contrôle. Un tel arrêt ne fixe aucune règle.</w:t>
      </w:r>
    </w:p>
    <w:p>
      <w:pPr>
        <w:pStyle w:val="Heading3"/>
        <w:spacing w:after="100" w:before="180"/>
      </w:pPr>
      <w:r>
        <w:rPr>
          <w:b w:val="false"/>
          <w:bCs w:val="false"/>
        </w:rPr>
        <w:t xml:space="preserve">5.3. Le contrôle léger : la solution était possible, pas obligatoire</w:t>
      </w:r>
    </w:p>
    <w:p>
      <w:pPr>
        <w:spacing w:after="140" w:line="276"/>
      </w:pPr>
      <w:r>
        <w:rPr>
          <w:b w:val="false"/>
          <w:bCs w:val="false"/>
        </w:rPr>
        <w:t xml:space="preserve">Le point le plus délicat. Le contrôle léger intervient quand la cour d'appel a tiré de ses constatations une conséquence </w:t>
      </w:r>
      <w:r>
        <w:rPr>
          <w:b/>
          <w:bCs/>
        </w:rPr>
        <w:t xml:space="preserve">possible, mais qui aurait pu être différente sans encourir la critique.</w:t>
      </w:r>
      <w:r>
        <w:rPr>
          <w:b w:val="false"/>
          <w:bCs w:val="false"/>
        </w:rPr>
        <w:t xml:space="preserve"> La formule qui le trahit, dans un rejet, est « </w:t>
      </w:r>
      <w:r>
        <w:rPr>
          <w:b/>
          <w:bCs/>
        </w:rPr>
        <w:t xml:space="preserve">a pu</w:t>
      </w:r>
      <w:r>
        <w:rPr>
          <w:b w:val="false"/>
          <w:bCs w:val="false"/>
        </w:rPr>
        <w:t xml:space="preserve"> » : « a pu en déduire », « a pu retenir », « a pu décider ».</w:t>
      </w:r>
    </w:p>
    <w:p>
      <w:pPr>
        <w:spacing w:after="140" w:line="276"/>
      </w:pPr>
      <w:r>
        <w:rPr>
          <w:b w:val="false"/>
          <w:bCs w:val="false"/>
        </w:rPr>
        <w:t xml:space="preserve">Ne surinterprétez jamais un « a pu ». La Cour ne dit pas que la solution est la bonne, mais qu'elle est </w:t>
      </w:r>
      <w:r>
        <w:rPr>
          <w:b/>
          <w:bCs/>
        </w:rPr>
        <w:t xml:space="preserve">compatible</w:t>
      </w:r>
      <w:r>
        <w:rPr>
          <w:b w:val="false"/>
          <w:bCs w:val="false"/>
        </w:rPr>
        <w:t xml:space="preserve"> avec l'interprétation jurisprudentielle de la loi. Une autre cour d'appel, sur les mêmes faits, aurait pu juger l'inverse sans être censurée. L'arrêt préserve la diversité des solutions : il n'énonce pas de règle, il indique une fourchette. Ne l'invoquez pas comme un arrêt de principe.</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Illustration — contrôle léger</w:t>
            </w:r>
          </w:p>
          <w:p>
            <w:pPr>
              <w:spacing w:after="60" w:line="264"/>
            </w:pPr>
            <w:r>
              <w:rPr>
                <w:b w:val="false"/>
                <w:bCs w:val="false"/>
                <w:i/>
                <w:iCs/>
                <w:color w:val="2B2B2B"/>
                <w:sz w:val="20"/>
                <w:szCs w:val="20"/>
              </w:rPr>
              <w:t xml:space="preserve">« Ayant ainsi déduit de ces constatations que les parties avaient chacune commis une faute, la cour d'appel a pu décider que les emprunteurs étaient tenus de rembourser le capital prêté, sous déduction de la somme de 9 000 euros dont elle a souverainement estimé qu'elle réparerait le préjudice […]. Le moyen n'est donc pas fondé. »</w:t>
            </w:r>
          </w:p>
          <w:p>
            <w:pPr>
              <w:spacing w:after="80"/>
            </w:pPr>
            <w:r>
              <w:rPr>
                <w:color w:val="6A6A6A"/>
                <w:sz w:val="16"/>
                <w:szCs w:val="16"/>
              </w:rPr>
              <w:t xml:space="preserve">1re Civ., 20 mai 2020, n° 18-23.529 (publié)</w:t>
            </w:r>
          </w:p>
          <w:p>
            <w:pPr>
              <w:spacing w:after="0" w:line="264"/>
            </w:pPr>
            <w:r>
              <w:rPr>
                <w:b/>
                <w:bCs/>
                <w:color w:val="2E4C6E"/>
                <w:sz w:val="20"/>
                <w:szCs w:val="20"/>
              </w:rPr>
              <w:t xml:space="preserve">À lire ainsi : </w:t>
            </w:r>
            <w:r>
              <w:rPr>
                <w:b w:val="false"/>
                <w:bCs w:val="false"/>
                <w:sz w:val="20"/>
                <w:szCs w:val="20"/>
              </w:rPr>
              <w:t xml:space="preserve">deux intensités dans une phrase. « </w:t>
            </w:r>
            <w:r>
              <w:rPr>
                <w:b/>
                <w:bCs/>
                <w:sz w:val="20"/>
                <w:szCs w:val="20"/>
              </w:rPr>
              <w:t xml:space="preserve">a pu décider</w:t>
            </w:r>
            <w:r>
              <w:rPr>
                <w:b w:val="false"/>
                <w:bCs w:val="false"/>
                <w:sz w:val="20"/>
                <w:szCs w:val="20"/>
              </w:rPr>
              <w:t xml:space="preserve"> » : contrôle léger (solution possible, pas imposée). « </w:t>
            </w:r>
            <w:r>
              <w:rPr>
                <w:b/>
                <w:bCs/>
                <w:sz w:val="20"/>
                <w:szCs w:val="20"/>
              </w:rPr>
              <w:t xml:space="preserve">souverainement estimé</w:t>
            </w:r>
            <w:r>
              <w:rPr>
                <w:b w:val="false"/>
                <w:bCs w:val="false"/>
                <w:sz w:val="20"/>
                <w:szCs w:val="20"/>
              </w:rPr>
              <w:t xml:space="preserve"> » : pouvoir souverain sur le montant. Aucune règle nouvelle. N'en faites pas un arrêt de principe.</w:t>
            </w:r>
          </w:p>
        </w:tc>
      </w:tr>
    </w:tbl>
    <w:p>
      <w:pPr>
        <w:pStyle w:val="Heading3"/>
        <w:spacing w:after="100" w:before="180"/>
      </w:pPr>
      <w:r>
        <w:rPr>
          <w:b w:val="false"/>
          <w:bCs w:val="false"/>
        </w:rPr>
        <w:t xml:space="preserve">5.4. Le contrôle lourd : la solution s'imposait</w:t>
      </w:r>
    </w:p>
    <w:p>
      <w:pPr>
        <w:spacing w:after="140" w:line="276"/>
      </w:pPr>
      <w:r>
        <w:rPr>
          <w:b w:val="false"/>
          <w:bCs w:val="false"/>
        </w:rPr>
        <w:t xml:space="preserve">Le contrôle lourd intervient quand la cour d'appel </w:t>
      </w:r>
      <w:r>
        <w:rPr>
          <w:b/>
          <w:bCs/>
        </w:rPr>
        <w:t xml:space="preserve">ne pouvait aboutir qu'à cette solution</w:t>
      </w:r>
      <w:r>
        <w:rPr>
          <w:b w:val="false"/>
          <w:bCs w:val="false"/>
        </w:rPr>
        <w:t xml:space="preserve">. Les formules sont fortes : « </w:t>
      </w:r>
      <w:r>
        <w:rPr>
          <w:b/>
          <w:bCs/>
        </w:rPr>
        <w:t xml:space="preserve">à bon droit</w:t>
      </w:r>
      <w:r>
        <w:rPr>
          <w:b w:val="false"/>
          <w:bCs w:val="false"/>
        </w:rPr>
        <w:t xml:space="preserve"> », « </w:t>
      </w:r>
      <w:r>
        <w:rPr>
          <w:b/>
          <w:bCs/>
        </w:rPr>
        <w:t xml:space="preserve">exactement</w:t>
      </w:r>
      <w:r>
        <w:rPr>
          <w:b w:val="false"/>
          <w:bCs w:val="false"/>
        </w:rPr>
        <w:t xml:space="preserve"> » (« en a exactement déduit »), « </w:t>
      </w:r>
      <w:r>
        <w:rPr>
          <w:b/>
          <w:bCs/>
        </w:rPr>
        <w:t xml:space="preserve">justement</w:t>
      </w:r>
      <w:r>
        <w:rPr>
          <w:b w:val="false"/>
          <w:bCs w:val="false"/>
        </w:rPr>
        <w:t xml:space="preserve"> ». Un rejet qui approuve « à bon droit » fait autorité comme une cassation pour violation de la loi : la Cour valide non pas une possibilité, mais </w:t>
      </w:r>
      <w:r>
        <w:rPr>
          <w:b/>
          <w:bCs/>
        </w:rPr>
        <w:t xml:space="preserve">la</w:t>
      </w:r>
      <w:r>
        <w:rPr>
          <w:b w:val="false"/>
          <w:bCs w:val="false"/>
        </w:rPr>
        <w:t xml:space="preserve"> solution, et fixe la notion pour tous les juges du fond. Elle énonce alors souvent la règle dans un chapeau.</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Illustration — contrôle lourd</w:t>
            </w:r>
          </w:p>
          <w:p>
            <w:pPr>
              <w:spacing w:after="60" w:line="264"/>
            </w:pPr>
            <w:r>
              <w:rPr>
                <w:b w:val="false"/>
                <w:bCs w:val="false"/>
                <w:i/>
                <w:iCs/>
                <w:color w:val="2B2B2B"/>
                <w:sz w:val="20"/>
                <w:szCs w:val="20"/>
              </w:rPr>
              <w:t xml:space="preserve">« Il résulte de l'article R. 441-10 du code de la sécurité sociale […] que la caisse dispose d'un délai de trente jours […] pour statuer sur le caractère professionnel de l'accident […]. »</w:t>
            </w:r>
          </w:p>
          <w:p>
            <w:pPr>
              <w:spacing w:after="60" w:line="264"/>
            </w:pPr>
            <w:r>
              <w:rPr>
                <w:b w:val="false"/>
                <w:bCs w:val="false"/>
                <w:i/>
                <w:iCs/>
                <w:color w:val="2B2B2B"/>
                <w:sz w:val="20"/>
                <w:szCs w:val="20"/>
              </w:rPr>
              <w:t xml:space="preserve">« […] la cour d'appel a exactement déduit que […] M. D. était fondé à se prévaloir d'une reconnaissance implicite du caractère professionnel de l'accident. »</w:t>
            </w:r>
          </w:p>
          <w:p>
            <w:pPr>
              <w:spacing w:after="80"/>
            </w:pPr>
            <w:r>
              <w:rPr>
                <w:color w:val="6A6A6A"/>
                <w:sz w:val="16"/>
                <w:szCs w:val="16"/>
              </w:rPr>
              <w:t xml:space="preserve">2e Civ., 16 juillet 2020, n° 19-15.178</w:t>
            </w:r>
          </w:p>
          <w:p>
            <w:pPr>
              <w:spacing w:after="0" w:line="264"/>
            </w:pPr>
            <w:r>
              <w:rPr>
                <w:b/>
                <w:bCs/>
                <w:color w:val="2E4C6E"/>
                <w:sz w:val="20"/>
                <w:szCs w:val="20"/>
              </w:rPr>
              <w:t xml:space="preserve">À lire ainsi : </w:t>
            </w:r>
            <w:r>
              <w:rPr>
                <w:b w:val="false"/>
                <w:bCs w:val="false"/>
                <w:sz w:val="20"/>
                <w:szCs w:val="20"/>
              </w:rPr>
              <w:t xml:space="preserve">la réponse s'ouvre par un </w:t>
            </w:r>
            <w:r>
              <w:rPr>
                <w:b/>
                <w:bCs/>
                <w:sz w:val="20"/>
                <w:szCs w:val="20"/>
              </w:rPr>
              <w:t xml:space="preserve">chapeau</w:t>
            </w:r>
            <w:r>
              <w:rPr>
                <w:b w:val="false"/>
                <w:bCs w:val="false"/>
                <w:sz w:val="20"/>
                <w:szCs w:val="20"/>
              </w:rPr>
              <w:t xml:space="preserve"> qui énonce la règle, puis approuve par « </w:t>
            </w:r>
            <w:r>
              <w:rPr>
                <w:b/>
                <w:bCs/>
                <w:sz w:val="20"/>
                <w:szCs w:val="20"/>
              </w:rPr>
              <w:t xml:space="preserve">a exactement déduit</w:t>
            </w:r>
            <w:r>
              <w:rPr>
                <w:b w:val="false"/>
                <w:bCs w:val="false"/>
                <w:sz w:val="20"/>
                <w:szCs w:val="20"/>
              </w:rPr>
              <w:t xml:space="preserve"> ». La Cour tranche en droit le point de départ du délai. L'arrêt vaut comme précédent, à la différence du « a pu ».</w:t>
            </w:r>
          </w:p>
        </w:tc>
      </w:tr>
    </w:tbl>
    <w:p>
      <w:pPr>
        <w:pStyle w:val="Heading3"/>
        <w:spacing w:after="100" w:before="180"/>
      </w:pPr>
      <w:r>
        <w:rPr>
          <w:b w:val="false"/>
          <w:bCs w:val="false"/>
        </w:rPr>
        <w:t xml:space="preserve">5.5. Pourquoi l'intensité varie, et comment l'anticiper</w:t>
      </w:r>
    </w:p>
    <w:p>
      <w:pPr>
        <w:spacing w:after="140" w:line="276"/>
      </w:pPr>
      <w:r>
        <w:rPr>
          <w:b w:val="false"/>
          <w:bCs w:val="false"/>
        </w:rPr>
        <w:t xml:space="preserve">L'intensité dépend de la volonté de la Cour de peser ou non sur la jurisprudence. Pour </w:t>
      </w:r>
      <w:r>
        <w:rPr>
          <w:b/>
          <w:bCs/>
        </w:rPr>
        <w:t xml:space="preserve">unifier</w:t>
      </w:r>
      <w:r>
        <w:rPr>
          <w:b w:val="false"/>
          <w:bCs w:val="false"/>
        </w:rPr>
        <w:t xml:space="preserve"> une notion, elle exerce un contrôle lourd ; pour laisser respirer les juges du fond, elle relâche. Trois observations évitent les contresens. Une même notion peut être contrôlée dans une matière et pas dans une autre (la faute, contrôlée en responsabilité civile, est souverainement appréciée en divorce). L'intensité évolue dans le temps (le harcèlement moral, longtemps souverain en chambre sociale, est passé sous contrôle de qualification). Enfin, la pratique a délimité, matière par matière, les notions à contrôle lourd : on ne le devine pas d'un arrêt isolé, il faut connaître l'état récent de la jurisprudence.</w:t>
      </w:r>
    </w:p>
    <w:p>
      <w:pPr>
        <w:pStyle w:val="Heading3"/>
        <w:spacing w:after="100" w:before="180"/>
      </w:pPr>
      <w:r>
        <w:rPr>
          <w:b w:val="false"/>
          <w:bCs w:val="false"/>
        </w:rPr>
        <w:t xml:space="preserve">5.6. Tableau des verbes et formules à décoder</w:t>
      </w:r>
    </w:p>
    <w:tbl>
      <w:tblPr>
        <w:tblW w:type="dxa" w:w="9000"/>
        <w:tblBorders>
          <w:top w:val="single" w:color="B7C4D2" w:sz="4"/>
          <w:left w:val="single" w:color="B7C4D2" w:sz="4"/>
          <w:bottom w:val="single" w:color="B7C4D2" w:sz="4"/>
          <w:right w:val="single" w:color="B7C4D2" w:sz="4"/>
          <w:insideH w:val="single" w:color="B7C4D2" w:sz="4"/>
          <w:insideV w:val="single" w:color="B7C4D2" w:sz="4"/>
        </w:tblBorders>
      </w:tblPr>
      <w:tblGrid>
        <w:gridCol w:w="3550"/>
        <w:gridCol w:w="5450"/>
      </w:tblGrid>
      <w:tr>
        <w:trPr>
          <w:tblHeader/>
        </w:trPr>
        <w:tc>
          <w:tcPr>
            <w:tcW w:type="dxa" w:w="3550"/>
            <w:shd w:fill="1F3A5F" w:color="auto" w:val="clear"/>
            <w:tcMar>
              <w:top w:type="dxa" w:w="60"/>
              <w:left w:type="dxa" w:w="110"/>
              <w:bottom w:type="dxa" w:w="60"/>
              <w:right w:type="dxa" w:w="110"/>
            </w:tcMar>
          </w:tcPr>
          <w:p>
            <w:pPr>
              <w:spacing w:after="0" w:line="248"/>
            </w:pPr>
            <w:r>
              <w:rPr>
                <w:b/>
                <w:bCs/>
                <w:color w:val="FFFFFF"/>
              </w:rPr>
              <w:t xml:space="preserve">Formule (arrêt de rejet)</w:t>
            </w:r>
          </w:p>
        </w:tc>
        <w:tc>
          <w:tcPr>
            <w:tcW w:type="dxa" w:w="5450"/>
            <w:shd w:fill="1F3A5F" w:color="auto" w:val="clear"/>
            <w:tcMar>
              <w:top w:type="dxa" w:w="60"/>
              <w:left w:type="dxa" w:w="110"/>
              <w:bottom w:type="dxa" w:w="60"/>
              <w:right w:type="dxa" w:w="110"/>
            </w:tcMar>
          </w:tcPr>
          <w:p>
            <w:pPr>
              <w:spacing w:after="0" w:line="248"/>
            </w:pPr>
            <w:r>
              <w:rPr>
                <w:b/>
                <w:bCs/>
                <w:color w:val="FFFFFF"/>
              </w:rPr>
              <w:t xml:space="preserve">Ce qu'elle signifie</w:t>
            </w:r>
          </w:p>
        </w:tc>
      </w:tr>
      <w:tr>
        <w:tc>
          <w:tcPr>
            <w:tcW w:type="dxa" w:w="3550"/>
            <w:tcMar>
              <w:top w:type="dxa" w:w="60"/>
              <w:left w:type="dxa" w:w="110"/>
              <w:bottom w:type="dxa" w:w="60"/>
              <w:right w:type="dxa" w:w="110"/>
            </w:tcMar>
          </w:tcPr>
          <w:p>
            <w:pPr>
              <w:spacing w:after="0" w:line="248"/>
            </w:pPr>
            <w:r>
              <w:rPr>
                <w:b/>
                <w:bCs/>
              </w:rPr>
              <w:t xml:space="preserve">« a énoncé »</w:t>
            </w:r>
          </w:p>
        </w:tc>
        <w:tc>
          <w:tcPr>
            <w:tcW w:type="dxa" w:w="5450"/>
            <w:tcMar>
              <w:top w:type="dxa" w:w="60"/>
              <w:left w:type="dxa" w:w="110"/>
              <w:bottom w:type="dxa" w:w="60"/>
              <w:right w:type="dxa" w:w="110"/>
            </w:tcMar>
          </w:tcPr>
          <w:p>
            <w:pPr>
              <w:spacing w:after="0" w:line="248"/>
            </w:pPr>
            <w:r>
              <w:rPr>
                <w:b w:val="false"/>
                <w:bCs w:val="false"/>
              </w:rPr>
              <w:t xml:space="preserve">Reproduction exacte des termes de l'arrêt attaqué. Neutre.</w:t>
            </w:r>
          </w:p>
        </w:tc>
      </w:tr>
      <w:tr>
        <w:tc>
          <w:tcPr>
            <w:tcW w:type="dxa" w:w="3550"/>
            <w:shd w:fill="EAF0F6" w:color="auto" w:val="clear"/>
            <w:tcMar>
              <w:top w:type="dxa" w:w="60"/>
              <w:left w:type="dxa" w:w="110"/>
              <w:bottom w:type="dxa" w:w="60"/>
              <w:right w:type="dxa" w:w="110"/>
            </w:tcMar>
          </w:tcPr>
          <w:p>
            <w:pPr>
              <w:spacing w:after="0" w:line="248"/>
            </w:pPr>
            <w:r>
              <w:rPr>
                <w:b/>
                <w:bCs/>
              </w:rPr>
              <w:t xml:space="preserve">« a constaté »</w:t>
            </w:r>
          </w:p>
        </w:tc>
        <w:tc>
          <w:tcPr>
            <w:tcW w:type="dxa" w:w="5450"/>
            <w:shd w:fill="EAF0F6" w:color="auto" w:val="clear"/>
            <w:tcMar>
              <w:top w:type="dxa" w:w="60"/>
              <w:left w:type="dxa" w:w="110"/>
              <w:bottom w:type="dxa" w:w="60"/>
              <w:right w:type="dxa" w:w="110"/>
            </w:tcMar>
          </w:tcPr>
          <w:p>
            <w:pPr>
              <w:spacing w:after="0" w:line="248"/>
            </w:pPr>
            <w:r>
              <w:rPr>
                <w:b w:val="false"/>
                <w:bCs w:val="false"/>
              </w:rPr>
              <w:t xml:space="preserve">Appréciation souveraine des faits. Pas de contrôle.</w:t>
            </w:r>
          </w:p>
        </w:tc>
      </w:tr>
      <w:tr>
        <w:tc>
          <w:tcPr>
            <w:tcW w:type="dxa" w:w="3550"/>
            <w:tcMar>
              <w:top w:type="dxa" w:w="60"/>
              <w:left w:type="dxa" w:w="110"/>
              <w:bottom w:type="dxa" w:w="60"/>
              <w:right w:type="dxa" w:w="110"/>
            </w:tcMar>
          </w:tcPr>
          <w:p>
            <w:pPr>
              <w:spacing w:after="0" w:line="248"/>
            </w:pPr>
            <w:r>
              <w:rPr>
                <w:b/>
                <w:bCs/>
              </w:rPr>
              <w:t xml:space="preserve">« a souverainement retenu / décidé »</w:t>
            </w:r>
          </w:p>
        </w:tc>
        <w:tc>
          <w:tcPr>
            <w:tcW w:type="dxa" w:w="5450"/>
            <w:tcMar>
              <w:top w:type="dxa" w:w="60"/>
              <w:left w:type="dxa" w:w="110"/>
              <w:bottom w:type="dxa" w:w="60"/>
              <w:right w:type="dxa" w:w="110"/>
            </w:tcMar>
          </w:tcPr>
          <w:p>
            <w:pPr>
              <w:spacing w:after="0" w:line="248"/>
            </w:pPr>
            <w:r>
              <w:rPr>
                <w:b w:val="false"/>
                <w:bCs w:val="false"/>
              </w:rPr>
              <w:t xml:space="preserve">Pouvoir souverain. Absence explicite de contrôle.</w:t>
            </w:r>
          </w:p>
        </w:tc>
      </w:tr>
      <w:tr>
        <w:tc>
          <w:tcPr>
            <w:tcW w:type="dxa" w:w="3550"/>
            <w:shd w:fill="EAF0F6" w:color="auto" w:val="clear"/>
            <w:tcMar>
              <w:top w:type="dxa" w:w="60"/>
              <w:left w:type="dxa" w:w="110"/>
              <w:bottom w:type="dxa" w:w="60"/>
              <w:right w:type="dxa" w:w="110"/>
            </w:tcMar>
          </w:tcPr>
          <w:p>
            <w:pPr>
              <w:spacing w:after="0" w:line="248"/>
            </w:pPr>
            <w:r>
              <w:rPr>
                <w:b/>
                <w:bCs/>
              </w:rPr>
              <w:t xml:space="preserve">« a pu retenir / a pu en déduire »</w:t>
            </w:r>
          </w:p>
        </w:tc>
        <w:tc>
          <w:tcPr>
            <w:tcW w:type="dxa" w:w="5450"/>
            <w:shd w:fill="EAF0F6" w:color="auto" w:val="clear"/>
            <w:tcMar>
              <w:top w:type="dxa" w:w="60"/>
              <w:left w:type="dxa" w:w="110"/>
              <w:bottom w:type="dxa" w:w="60"/>
              <w:right w:type="dxa" w:w="110"/>
            </w:tcMar>
          </w:tcPr>
          <w:p>
            <w:pPr>
              <w:spacing w:after="0" w:line="248"/>
            </w:pPr>
            <w:r>
              <w:rPr>
                <w:b w:val="false"/>
                <w:bCs w:val="false"/>
              </w:rPr>
              <w:t xml:space="preserve">Contrôle léger. La solution était possible, pas la seule.</w:t>
            </w:r>
          </w:p>
        </w:tc>
      </w:tr>
      <w:tr>
        <w:tc>
          <w:tcPr>
            <w:tcW w:type="dxa" w:w="3550"/>
            <w:tcMar>
              <w:top w:type="dxa" w:w="60"/>
              <w:left w:type="dxa" w:w="110"/>
              <w:bottom w:type="dxa" w:w="60"/>
              <w:right w:type="dxa" w:w="110"/>
            </w:tcMar>
          </w:tcPr>
          <w:p>
            <w:pPr>
              <w:spacing w:after="0" w:line="248"/>
            </w:pPr>
            <w:r>
              <w:rPr>
                <w:b/>
                <w:bCs/>
              </w:rPr>
              <w:t xml:space="preserve">« a exactement retenu / en a exactement déduit »</w:t>
            </w:r>
          </w:p>
        </w:tc>
        <w:tc>
          <w:tcPr>
            <w:tcW w:type="dxa" w:w="5450"/>
            <w:tcMar>
              <w:top w:type="dxa" w:w="60"/>
              <w:left w:type="dxa" w:w="110"/>
              <w:bottom w:type="dxa" w:w="60"/>
              <w:right w:type="dxa" w:w="110"/>
            </w:tcMar>
          </w:tcPr>
          <w:p>
            <w:pPr>
              <w:spacing w:after="0" w:line="248"/>
            </w:pPr>
            <w:r>
              <w:rPr>
                <w:b w:val="false"/>
                <w:bCs w:val="false"/>
              </w:rPr>
              <w:t xml:space="preserve">Contrôle lourd. La solution s'imposait.</w:t>
            </w:r>
          </w:p>
        </w:tc>
      </w:tr>
      <w:tr>
        <w:tc>
          <w:tcPr>
            <w:tcW w:type="dxa" w:w="3550"/>
            <w:shd w:fill="EAF0F6" w:color="auto" w:val="clear"/>
            <w:tcMar>
              <w:top w:type="dxa" w:w="60"/>
              <w:left w:type="dxa" w:w="110"/>
              <w:bottom w:type="dxa" w:w="60"/>
              <w:right w:type="dxa" w:w="110"/>
            </w:tcMar>
          </w:tcPr>
          <w:p>
            <w:pPr>
              <w:spacing w:after="0" w:line="248"/>
            </w:pPr>
            <w:r>
              <w:rPr>
                <w:b/>
                <w:bCs/>
              </w:rPr>
              <w:t xml:space="preserve">« à bon droit »</w:t>
            </w:r>
          </w:p>
        </w:tc>
        <w:tc>
          <w:tcPr>
            <w:tcW w:type="dxa" w:w="5450"/>
            <w:shd w:fill="EAF0F6" w:color="auto" w:val="clear"/>
            <w:tcMar>
              <w:top w:type="dxa" w:w="60"/>
              <w:left w:type="dxa" w:w="110"/>
              <w:bottom w:type="dxa" w:w="60"/>
              <w:right w:type="dxa" w:w="110"/>
            </w:tcMar>
          </w:tcPr>
          <w:p>
            <w:pPr>
              <w:spacing w:after="0" w:line="248"/>
            </w:pPr>
            <w:r>
              <w:rPr>
                <w:b w:val="false"/>
                <w:bCs w:val="false"/>
              </w:rPr>
              <w:t xml:space="preserve">Contrôle lourd. Approbation normative.</w:t>
            </w:r>
          </w:p>
        </w:tc>
      </w:tr>
      <w:tr>
        <w:tc>
          <w:tcPr>
            <w:tcW w:type="dxa" w:w="3550"/>
            <w:tcMar>
              <w:top w:type="dxa" w:w="60"/>
              <w:left w:type="dxa" w:w="110"/>
              <w:bottom w:type="dxa" w:w="60"/>
              <w:right w:type="dxa" w:w="110"/>
            </w:tcMar>
          </w:tcPr>
          <w:p>
            <w:pPr>
              <w:spacing w:after="0" w:line="248"/>
            </w:pPr>
            <w:r>
              <w:rPr>
                <w:b/>
                <w:bCs/>
              </w:rPr>
              <w:t xml:space="preserve">« justement »</w:t>
            </w:r>
          </w:p>
        </w:tc>
        <w:tc>
          <w:tcPr>
            <w:tcW w:type="dxa" w:w="5450"/>
            <w:tcMar>
              <w:top w:type="dxa" w:w="60"/>
              <w:left w:type="dxa" w:w="110"/>
              <w:bottom w:type="dxa" w:w="60"/>
              <w:right w:type="dxa" w:w="110"/>
            </w:tcMar>
          </w:tcPr>
          <w:p>
            <w:pPr>
              <w:spacing w:after="0" w:line="248"/>
            </w:pPr>
            <w:r>
              <w:rPr>
                <w:b w:val="false"/>
                <w:bCs w:val="false"/>
              </w:rPr>
              <w:t xml:space="preserve">Le juge a correctement tiré les conséquences d'un texte.</w:t>
            </w:r>
          </w:p>
        </w:tc>
      </w:tr>
    </w:tbl>
    <w:p>
      <w:pPr>
        <w:spacing w:after="120"/>
      </w:pPr>
    </w:p>
    <w:tbl>
      <w:tblPr>
        <w:tblW w:type="dxa" w:w="9000"/>
        <w:tblBorders>
          <w:top w:val="single" w:color="B7C4D2" w:sz="4"/>
          <w:left w:val="single" w:color="B7C4D2" w:sz="4"/>
          <w:bottom w:val="single" w:color="B7C4D2" w:sz="4"/>
          <w:right w:val="single" w:color="B7C4D2" w:sz="4"/>
          <w:insideH w:val="single" w:color="B7C4D2" w:sz="4"/>
          <w:insideV w:val="single" w:color="B7C4D2" w:sz="4"/>
        </w:tblBorders>
      </w:tblPr>
      <w:tblGrid>
        <w:gridCol w:w="3550"/>
        <w:gridCol w:w="5450"/>
      </w:tblGrid>
      <w:tr>
        <w:trPr>
          <w:tblHeader/>
        </w:trPr>
        <w:tc>
          <w:tcPr>
            <w:tcW w:type="dxa" w:w="3550"/>
            <w:shd w:fill="1F3A5F" w:color="auto" w:val="clear"/>
            <w:tcMar>
              <w:top w:type="dxa" w:w="60"/>
              <w:left w:type="dxa" w:w="110"/>
              <w:bottom w:type="dxa" w:w="60"/>
              <w:right w:type="dxa" w:w="110"/>
            </w:tcMar>
          </w:tcPr>
          <w:p>
            <w:pPr>
              <w:spacing w:after="0" w:line="248"/>
            </w:pPr>
            <w:r>
              <w:rPr>
                <w:b/>
                <w:bCs/>
                <w:color w:val="FFFFFF"/>
              </w:rPr>
              <w:t xml:space="preserve">Introduction du conclusif (cassation)</w:t>
            </w:r>
          </w:p>
        </w:tc>
        <w:tc>
          <w:tcPr>
            <w:tcW w:type="dxa" w:w="5450"/>
            <w:shd w:fill="1F3A5F" w:color="auto" w:val="clear"/>
            <w:tcMar>
              <w:top w:type="dxa" w:w="60"/>
              <w:left w:type="dxa" w:w="110"/>
              <w:bottom w:type="dxa" w:w="60"/>
              <w:right w:type="dxa" w:w="110"/>
            </w:tcMar>
          </w:tcPr>
          <w:p>
            <w:pPr>
              <w:spacing w:after="0" w:line="248"/>
            </w:pPr>
            <w:r>
              <w:rPr>
                <w:b/>
                <w:bCs/>
                <w:color w:val="FFFFFF"/>
              </w:rPr>
              <w:t xml:space="preserve">Type de contrôle</w:t>
            </w:r>
          </w:p>
        </w:tc>
      </w:tr>
      <w:tr>
        <w:tc>
          <w:tcPr>
            <w:tcW w:type="dxa" w:w="3550"/>
            <w:tcMar>
              <w:top w:type="dxa" w:w="60"/>
              <w:left w:type="dxa" w:w="110"/>
              <w:bottom w:type="dxa" w:w="60"/>
              <w:right w:type="dxa" w:w="110"/>
            </w:tcMar>
          </w:tcPr>
          <w:p>
            <w:pPr>
              <w:spacing w:after="0" w:line="248"/>
            </w:pPr>
            <w:r>
              <w:rPr>
                <w:b/>
                <w:bCs/>
              </w:rPr>
              <w:t xml:space="preserve">« Qu'en statuant ainsi… »</w:t>
            </w:r>
          </w:p>
        </w:tc>
        <w:tc>
          <w:tcPr>
            <w:tcW w:type="dxa" w:w="5450"/>
            <w:tcMar>
              <w:top w:type="dxa" w:w="60"/>
              <w:left w:type="dxa" w:w="110"/>
              <w:bottom w:type="dxa" w:w="60"/>
              <w:right w:type="dxa" w:w="110"/>
            </w:tcMar>
          </w:tcPr>
          <w:p>
            <w:pPr>
              <w:spacing w:after="0" w:line="248"/>
            </w:pPr>
            <w:r>
              <w:rPr>
                <w:b w:val="false"/>
                <w:bCs w:val="false"/>
              </w:rPr>
              <w:t xml:space="preserve">Violation de la loi (contrôle normatif).</w:t>
            </w:r>
          </w:p>
        </w:tc>
      </w:tr>
      <w:tr>
        <w:tc>
          <w:tcPr>
            <w:tcW w:type="dxa" w:w="3550"/>
            <w:shd w:fill="EAF0F6" w:color="auto" w:val="clear"/>
            <w:tcMar>
              <w:top w:type="dxa" w:w="60"/>
              <w:left w:type="dxa" w:w="110"/>
              <w:bottom w:type="dxa" w:w="60"/>
              <w:right w:type="dxa" w:w="110"/>
            </w:tcMar>
          </w:tcPr>
          <w:p>
            <w:pPr>
              <w:spacing w:after="0" w:line="248"/>
            </w:pPr>
            <w:r>
              <w:rPr>
                <w:b/>
                <w:bCs/>
              </w:rPr>
              <w:t xml:space="preserve">« Qu'en se déterminant ainsi… »</w:t>
            </w:r>
          </w:p>
        </w:tc>
        <w:tc>
          <w:tcPr>
            <w:tcW w:type="dxa" w:w="5450"/>
            <w:shd w:fill="EAF0F6" w:color="auto" w:val="clear"/>
            <w:tcMar>
              <w:top w:type="dxa" w:w="60"/>
              <w:left w:type="dxa" w:w="110"/>
              <w:bottom w:type="dxa" w:w="60"/>
              <w:right w:type="dxa" w:w="110"/>
            </w:tcMar>
          </w:tcPr>
          <w:p>
            <w:pPr>
              <w:spacing w:after="0" w:line="248"/>
            </w:pPr>
            <w:r>
              <w:rPr>
                <w:b w:val="false"/>
                <w:bCs w:val="false"/>
              </w:rPr>
              <w:t xml:space="preserve">Manque de base légale (contrôle de motivation).</w:t>
            </w:r>
          </w:p>
        </w:tc>
      </w:tr>
    </w:tbl>
    <w:p>
      <w:pPr>
        <w:pStyle w:val="Heading1"/>
        <w:spacing w:after="160" w:before="340"/>
      </w:pPr>
      <w:r>
        <w:rPr>
          <w:b w:val="false"/>
          <w:bCs w:val="false"/>
        </w:rPr>
        <w:t xml:space="preserve">6. La cassation pour manque de base légale : à lire avec des pincettes</w:t>
      </w:r>
    </w:p>
    <w:p>
      <w:pPr>
        <w:spacing w:after="140" w:line="276"/>
      </w:pPr>
      <w:r>
        <w:rPr>
          <w:b w:val="false"/>
          <w:bCs w:val="false"/>
        </w:rPr>
        <w:t xml:space="preserve">Une cassation pour manque de base légale ne dit pas que la solution de la cour d'appel était mauvaise. Elle dit que la cour d'appel n'a pas caractérisé tous les éléments de fait qui auraient permis à la Cour de vérifier que la règle de droit était respectée. La décision est peut-être excellente au fond : c'est sa </w:t>
      </w:r>
      <w:r>
        <w:rPr>
          <w:b/>
          <w:bCs/>
        </w:rPr>
        <w:t xml:space="preserve">motivation</w:t>
      </w:r>
      <w:r>
        <w:rPr>
          <w:b w:val="false"/>
          <w:bCs w:val="false"/>
        </w:rPr>
        <w:t xml:space="preserve"> qui est incomplète.</w:t>
      </w:r>
    </w:p>
    <w:p>
      <w:pPr>
        <w:spacing w:after="140" w:line="276"/>
      </w:pPr>
      <w:r>
        <w:rPr>
          <w:b w:val="false"/>
          <w:bCs w:val="false"/>
        </w:rPr>
        <w:t xml:space="preserve">L'exemple canonique vient de la responsabilité civile : il faut une faute, un dommage et un lien de causalité. Si la cour d'appel motive la faute et le dommage mais reste muette sur le lien de causalité, elle prive sa décision de base légale : il manque un élément constitutif, pour parler comme en droit pénal. La Cour ne peut pas contrôler ce qui n'est pas caractérisé.</w:t>
      </w:r>
    </w:p>
    <w:p>
      <w:pPr>
        <w:spacing w:after="140" w:line="276"/>
      </w:pPr>
      <w:r>
        <w:rPr>
          <w:b w:val="false"/>
          <w:bCs w:val="false"/>
        </w:rPr>
        <w:t xml:space="preserve">Deux conséquences. La cassation pour manque de base légale a une </w:t>
      </w:r>
      <w:r>
        <w:rPr>
          <w:b/>
          <w:bCs/>
        </w:rPr>
        <w:t xml:space="preserve">vocation pédagogique</w:t>
      </w:r>
      <w:r>
        <w:rPr>
          <w:b w:val="false"/>
          <w:bCs w:val="false"/>
        </w:rPr>
        <w:t xml:space="preserve"> : le conclusif indique ce qui manquait (« sans rechercher… »). Surtout, </w:t>
      </w:r>
      <w:r>
        <w:rPr>
          <w:b/>
          <w:bCs/>
        </w:rPr>
        <w:t xml:space="preserve">la cour de renvoi peut reprendre la même solution</w:t>
      </w:r>
      <w:r>
        <w:rPr>
          <w:b w:val="false"/>
          <w:bCs w:val="false"/>
        </w:rPr>
        <w:t xml:space="preserve">, à condition de motiver le point manquant. Il ne peut donc y avoir de « rébellion » : la Cour n'a pas condamné la solution, seulement une lacune. Son poids sur le fond est faible.</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Illustration — manque de base légale</w:t>
            </w:r>
          </w:p>
          <w:p>
            <w:pPr>
              <w:spacing w:after="60" w:line="264"/>
            </w:pPr>
            <w:r>
              <w:rPr>
                <w:b w:val="false"/>
                <w:bCs w:val="false"/>
                <w:i/>
                <w:iCs/>
                <w:color w:val="2B2B2B"/>
                <w:sz w:val="20"/>
                <w:szCs w:val="20"/>
              </w:rPr>
              <w:t xml:space="preserve">« En se déterminant ainsi, sans rechercher, comme il le lui était demandé, si la demande du bailleur […] ne constituait pas une contestation opposant bailleur et preneur à bail rural […], la cour d'appel a privé sa décision de base légale. »</w:t>
            </w:r>
          </w:p>
          <w:p>
            <w:pPr>
              <w:spacing w:after="80"/>
            </w:pPr>
            <w:r>
              <w:rPr>
                <w:color w:val="6A6A6A"/>
                <w:sz w:val="16"/>
                <w:szCs w:val="16"/>
              </w:rPr>
              <w:t xml:space="preserve">3e Civ., 9 juillet 2020, n° 19-15.085 (bail rural)</w:t>
            </w:r>
          </w:p>
          <w:p>
            <w:pPr>
              <w:spacing w:after="0" w:line="264"/>
            </w:pPr>
            <w:r>
              <w:rPr>
                <w:b/>
                <w:bCs/>
                <w:color w:val="2E4C6E"/>
                <w:sz w:val="20"/>
                <w:szCs w:val="20"/>
              </w:rPr>
              <w:t xml:space="preserve">À lire ainsi : </w:t>
            </w:r>
            <w:r>
              <w:rPr>
                <w:b w:val="false"/>
                <w:bCs w:val="false"/>
                <w:sz w:val="20"/>
                <w:szCs w:val="20"/>
              </w:rPr>
              <w:t xml:space="preserve">« </w:t>
            </w:r>
            <w:r>
              <w:rPr>
                <w:b/>
                <w:bCs/>
                <w:sz w:val="20"/>
                <w:szCs w:val="20"/>
              </w:rPr>
              <w:t xml:space="preserve">En se déterminant ainsi, sans rechercher… a privé sa décision de base légale</w:t>
            </w:r>
            <w:r>
              <w:rPr>
                <w:b w:val="false"/>
                <w:bCs w:val="false"/>
                <w:sz w:val="20"/>
                <w:szCs w:val="20"/>
              </w:rPr>
              <w:t xml:space="preserve"> » est la signature du manque de base légale. La Cour ne dit pas qui a raison : elle reproche de n'avoir pas vérifié un point. La cour de renvoi pourra trancher dans le même sens en comblant la recherche omise.</w:t>
            </w:r>
          </w:p>
        </w:tc>
      </w:tr>
    </w:tbl>
    <w:p>
      <w:pPr>
        <w:pStyle w:val="Heading2"/>
        <w:spacing w:after="120" w:before="240"/>
      </w:pPr>
      <w:r>
        <w:rPr>
          <w:b w:val="false"/>
          <w:bCs w:val="false"/>
        </w:rPr>
        <w:t xml:space="preserve">Ne pas confondre avec le défaut de motifs</w:t>
      </w:r>
    </w:p>
    <w:p>
      <w:pPr>
        <w:pStyle w:val="ListParagraph"/>
        <w:numPr>
          <w:ilvl w:val="0"/>
          <w:numId w:val="2"/>
        </w:numPr>
        <w:spacing w:after="90" w:line="272"/>
      </w:pPr>
      <w:r>
        <w:rPr>
          <w:b w:val="false"/>
          <w:bCs w:val="false"/>
        </w:rPr>
        <w:t xml:space="preserve">Le </w:t>
      </w:r>
      <w:r>
        <w:rPr>
          <w:b/>
          <w:bCs/>
        </w:rPr>
        <w:t xml:space="preserve">défaut de motifs</w:t>
      </w:r>
      <w:r>
        <w:rPr>
          <w:b w:val="false"/>
          <w:bCs w:val="false"/>
        </w:rPr>
        <w:t xml:space="preserve"> (articles 455 et 458) sanctionne une </w:t>
      </w:r>
      <w:r>
        <w:rPr>
          <w:b/>
          <w:bCs/>
        </w:rPr>
        <w:t xml:space="preserve">absence</w:t>
      </w:r>
      <w:r>
        <w:rPr>
          <w:b w:val="false"/>
          <w:bCs w:val="false"/>
        </w:rPr>
        <w:t xml:space="preserve"> de motivation, ou une motivation contradictoire, hypothétique, dubitative. Vice de forme, cassation « disciplinaire ».</w:t>
      </w:r>
    </w:p>
    <w:p>
      <w:pPr>
        <w:pStyle w:val="ListParagraph"/>
        <w:numPr>
          <w:ilvl w:val="0"/>
          <w:numId w:val="2"/>
        </w:numPr>
        <w:spacing w:after="90" w:line="272"/>
      </w:pPr>
      <w:r>
        <w:rPr>
          <w:b w:val="false"/>
          <w:bCs w:val="false"/>
        </w:rPr>
        <w:t xml:space="preserve">Le </w:t>
      </w:r>
      <w:r>
        <w:rPr>
          <w:b/>
          <w:bCs/>
        </w:rPr>
        <w:t xml:space="preserve">manque de base légale</w:t>
      </w:r>
      <w:r>
        <w:rPr>
          <w:b w:val="false"/>
          <w:bCs w:val="false"/>
        </w:rPr>
        <w:t xml:space="preserve"> suppose une décision motivée, mais dont les motifs sont </w:t>
      </w:r>
      <w:r>
        <w:rPr>
          <w:b/>
          <w:bCs/>
        </w:rPr>
        <w:t xml:space="preserve">insuffisants</w:t>
      </w:r>
      <w:r>
        <w:rPr>
          <w:b w:val="false"/>
          <w:bCs w:val="false"/>
        </w:rPr>
        <w:t xml:space="preserve"> pour la justifier en droit. Vice de fond, qui touche l'application de la règle.</w:t>
      </w:r>
    </w:p>
    <w:p>
      <w:pPr>
        <w:spacing w:after="140" w:line="276"/>
      </w:pPr>
      <w:r>
        <w:rPr>
          <w:b w:val="false"/>
          <w:bCs w:val="false"/>
        </w:rPr>
        <w:t xml:space="preserve">Dans les deux cas, la cour de renvoi pourra reprendre la même solution après avoir complété sa motivation. Ni l'un ni l'autre ne condamne le résultat.</w:t>
      </w:r>
    </w:p>
    <w:p>
      <w:pPr>
        <w:pStyle w:val="Heading1"/>
        <w:spacing w:after="160" w:before="340"/>
      </w:pPr>
      <w:r>
        <w:rPr>
          <w:b w:val="false"/>
          <w:bCs w:val="false"/>
        </w:rPr>
        <w:t xml:space="preserve">7. La formation et la chambre : le poids institutionnel de l'arrêt</w:t>
      </w:r>
    </w:p>
    <w:p>
      <w:pPr>
        <w:spacing w:after="140" w:line="276"/>
      </w:pPr>
      <w:r>
        <w:rPr>
          <w:b w:val="false"/>
          <w:bCs w:val="false"/>
        </w:rPr>
        <w:t xml:space="preserve">Deux arrêts qui posent la même règle ne pèsent pas pareil selon qui les rend. Lisez l'en-tête et le bloc de signatures avec autant d'attention que les motifs.</w:t>
      </w:r>
    </w:p>
    <w:p>
      <w:pPr>
        <w:pStyle w:val="Heading2"/>
        <w:spacing w:after="120" w:before="240"/>
      </w:pPr>
      <w:r>
        <w:rPr>
          <w:b w:val="false"/>
          <w:bCs w:val="false"/>
        </w:rPr>
        <w:t xml:space="preserve">7.1. Les formations solennelles, au sommet</w:t>
      </w:r>
    </w:p>
    <w:p>
      <w:pPr>
        <w:spacing w:after="140" w:line="276"/>
      </w:pPr>
      <w:r>
        <w:rPr>
          <w:b w:val="false"/>
          <w:bCs w:val="false"/>
        </w:rPr>
        <w:t xml:space="preserve">L'</w:t>
      </w:r>
      <w:r>
        <w:rPr>
          <w:b/>
          <w:bCs/>
        </w:rPr>
        <w:t xml:space="preserve">assemblée plénière</w:t>
      </w:r>
      <w:r>
        <w:rPr>
          <w:b w:val="false"/>
          <w:bCs w:val="false"/>
        </w:rPr>
        <w:t xml:space="preserve"> réunit toutes les chambres (question de principe, ou résistance d'une cour de renvoi, article L. 431-6). Portée maximale. La </w:t>
      </w:r>
      <w:r>
        <w:rPr>
          <w:b/>
          <w:bCs/>
        </w:rPr>
        <w:t xml:space="preserve">chambre mixte</w:t>
      </w:r>
      <w:r>
        <w:rPr>
          <w:b w:val="false"/>
          <w:bCs w:val="false"/>
        </w:rPr>
        <w:t xml:space="preserve"> réunit au moins trois chambres (question commune ou divergence entre elles). Portée très forte, juste en dessous.</w:t>
      </w:r>
    </w:p>
    <w:p>
      <w:pPr>
        <w:pStyle w:val="Heading2"/>
        <w:spacing w:after="120" w:before="240"/>
      </w:pPr>
      <w:r>
        <w:rPr>
          <w:b w:val="false"/>
          <w:bCs w:val="false"/>
        </w:rPr>
        <w:t xml:space="preserve">7.2. Le repère le moins connu : section ou formation restreinte</w:t>
      </w:r>
    </w:p>
    <w:p>
      <w:pPr>
        <w:spacing w:after="140" w:line="276"/>
      </w:pPr>
      <w:r>
        <w:rPr>
          <w:b w:val="false"/>
          <w:bCs w:val="false"/>
        </w:rPr>
        <w:t xml:space="preserve">Comptez les noms de magistrats. Un </w:t>
      </w:r>
      <w:r>
        <w:rPr>
          <w:b/>
          <w:bCs/>
        </w:rPr>
        <w:t xml:space="preserve">arrêt de formation restreinte</w:t>
      </w:r>
      <w:r>
        <w:rPr>
          <w:b w:val="false"/>
          <w:bCs w:val="false"/>
        </w:rPr>
        <w:t xml:space="preserve"> ne fait délibérer que trois magistrats (rapporteur, président, doyen) : il statue « lorsque la solution s'impose » (article L. 431-1) et sa portée est limitée. Un </w:t>
      </w:r>
      <w:r>
        <w:rPr>
          <w:b/>
          <w:bCs/>
        </w:rPr>
        <w:t xml:space="preserve">arrêt de section</w:t>
      </w:r>
      <w:r>
        <w:rPr>
          <w:b w:val="false"/>
          <w:bCs w:val="false"/>
        </w:rPr>
        <w:t xml:space="preserve"> porte de nombreux noms : toute une section a délibéré, l'arrêt a été davantage débattu et sa portée est supérieure. Mnémotechnique : peu de noms, faible portée ; beaucoup de noms, forte portée.</w:t>
      </w:r>
    </w:p>
    <w:p>
      <w:pPr>
        <w:pStyle w:val="Heading2"/>
        <w:spacing w:after="120" w:before="240"/>
      </w:pPr>
      <w:r>
        <w:rPr>
          <w:b w:val="false"/>
          <w:bCs w:val="false"/>
        </w:rPr>
        <w:t xml:space="preserve">7.3. La chambre qui statue, et sa spécialité</w:t>
      </w:r>
    </w:p>
    <w:p>
      <w:pPr>
        <w:spacing w:after="140" w:line="276"/>
      </w:pPr>
      <w:r>
        <w:rPr>
          <w:b w:val="false"/>
          <w:bCs w:val="false"/>
        </w:rPr>
        <w:t xml:space="preserve">L'autorité se renforce quand la question relève du cœur de compétence de la chambre. Hors de sa spécialité, la solution est plus fragile.</w:t>
      </w:r>
    </w:p>
    <w:p>
      <w:pPr>
        <w:pStyle w:val="ListParagraph"/>
        <w:numPr>
          <w:ilvl w:val="0"/>
          <w:numId w:val="2"/>
        </w:numPr>
        <w:spacing w:after="90" w:line="272"/>
      </w:pPr>
      <w:r>
        <w:rPr>
          <w:b/>
          <w:bCs/>
        </w:rPr>
        <w:t xml:space="preserve">Deuxième chambre civile</w:t>
      </w:r>
      <w:r>
        <w:rPr>
          <w:b w:val="false"/>
          <w:bCs w:val="false"/>
        </w:rPr>
        <w:t xml:space="preserve"> : procédure civile (autorité supérieure sur ces questions) et droit des assurances. Les autres chambres lui demandent parfois son avis.</w:t>
      </w:r>
    </w:p>
    <w:p>
      <w:pPr>
        <w:pStyle w:val="ListParagraph"/>
        <w:numPr>
          <w:ilvl w:val="0"/>
          <w:numId w:val="2"/>
        </w:numPr>
        <w:spacing w:after="90" w:line="272"/>
      </w:pPr>
      <w:r>
        <w:rPr>
          <w:b/>
          <w:bCs/>
        </w:rPr>
        <w:t xml:space="preserve">Première chambre civile</w:t>
      </w:r>
      <w:r>
        <w:rPr>
          <w:b w:val="false"/>
          <w:bCs w:val="false"/>
        </w:rPr>
        <w:t xml:space="preserve"> : droit international privé (en principe exclusivement), personnes et famille, consommation, responsabilité des professions du droit et de la santé.</w:t>
      </w:r>
    </w:p>
    <w:p>
      <w:pPr>
        <w:pStyle w:val="ListParagraph"/>
        <w:numPr>
          <w:ilvl w:val="0"/>
          <w:numId w:val="2"/>
        </w:numPr>
        <w:spacing w:after="90" w:line="272"/>
      </w:pPr>
      <w:r>
        <w:rPr>
          <w:b/>
          <w:bCs/>
        </w:rPr>
        <w:t xml:space="preserve">Troisième chambre civile</w:t>
      </w:r>
      <w:r>
        <w:rPr>
          <w:b w:val="false"/>
          <w:bCs w:val="false"/>
        </w:rPr>
        <w:t xml:space="preserve"> : immobilier (propriété, construction, copropriété, baux, urbanisme).</w:t>
      </w:r>
    </w:p>
    <w:p>
      <w:pPr>
        <w:pStyle w:val="ListParagraph"/>
        <w:numPr>
          <w:ilvl w:val="0"/>
          <w:numId w:val="2"/>
        </w:numPr>
        <w:spacing w:after="90" w:line="272"/>
      </w:pPr>
      <w:r>
        <w:rPr>
          <w:b/>
          <w:bCs/>
        </w:rPr>
        <w:t xml:space="preserve">Chambre commerciale</w:t>
      </w:r>
      <w:r>
        <w:rPr>
          <w:b w:val="false"/>
          <w:bCs w:val="false"/>
        </w:rPr>
        <w:t xml:space="preserve"> : sociétés, procédures collectives, banque, concurrence, propriété industrielle. </w:t>
      </w:r>
      <w:r>
        <w:rPr>
          <w:b/>
          <w:bCs/>
        </w:rPr>
        <w:t xml:space="preserve">Chambre sociale</w:t>
      </w:r>
      <w:r>
        <w:rPr>
          <w:b w:val="false"/>
          <w:bCs w:val="false"/>
        </w:rPr>
        <w:t xml:space="preserve"> : contrat de travail, licenciement, relations collectives.</w:t>
      </w:r>
    </w:p>
    <w:p>
      <w:pPr>
        <w:pStyle w:val="Heading2"/>
        <w:spacing w:after="120" w:before="240"/>
      </w:pPr>
      <w:r>
        <w:rPr>
          <w:b w:val="false"/>
          <w:bCs w:val="false"/>
        </w:rPr>
        <w:t xml:space="preserve">7.4. La consultation entre chambres (article 1015-1)</w:t>
      </w:r>
    </w:p>
    <w:p>
      <w:pPr>
        <w:spacing w:after="140" w:line="276"/>
      </w:pPr>
      <w:r>
        <w:rPr>
          <w:b w:val="false"/>
          <w:bCs w:val="false"/>
        </w:rPr>
        <w:t xml:space="preserve">Quand une chambre doit trancher une question relevant d'une autre, elle peut solliciter son avis. L'arrêt le mentionne en tête de la réponse. La solution bénéficie alors de l'accord des deux chambres et devient la doctrine de la Cour tout entière : portée proche d'une chambre mixte.</w:t>
      </w:r>
    </w:p>
    <w:p>
      <w:pPr>
        <w:pStyle w:val="Heading1"/>
        <w:spacing w:after="160" w:before="340"/>
      </w:pPr>
      <w:r>
        <w:rPr>
          <w:b w:val="false"/>
          <w:bCs w:val="false"/>
        </w:rPr>
        <w:t xml:space="preserve">8. Les autres signaux de portée</w:t>
      </w:r>
    </w:p>
    <w:p>
      <w:pPr>
        <w:pStyle w:val="Heading2"/>
        <w:spacing w:after="120" w:before="240"/>
      </w:pPr>
      <w:r>
        <w:rPr>
          <w:b w:val="false"/>
          <w:bCs w:val="false"/>
        </w:rPr>
        <w:t xml:space="preserve">8.1. Le mode de publication</w:t>
      </w:r>
    </w:p>
    <w:p>
      <w:pPr>
        <w:spacing w:after="140" w:line="276"/>
      </w:pPr>
      <w:r>
        <w:rPr>
          <w:b w:val="false"/>
          <w:bCs w:val="false"/>
        </w:rPr>
        <w:t xml:space="preserve">En haut à droite de la minute figure la mention d'importance. Depuis le 15 juin 2021 : </w:t>
      </w:r>
      <w:r>
        <w:rPr>
          <w:b/>
          <w:bCs/>
        </w:rPr>
        <w:t xml:space="preserve">B</w:t>
      </w:r>
      <w:r>
        <w:rPr>
          <w:b w:val="false"/>
          <w:bCs w:val="false"/>
        </w:rPr>
        <w:t xml:space="preserve"> (publié au Bulletin : solution nouvelle ou évolution d'interprétation) et </w:t>
      </w:r>
      <w:r>
        <w:rPr>
          <w:b/>
          <w:bCs/>
        </w:rPr>
        <w:t xml:space="preserve">R</w:t>
      </w:r>
      <w:r>
        <w:rPr>
          <w:b w:val="false"/>
          <w:bCs w:val="false"/>
        </w:rPr>
        <w:t xml:space="preserve"> (publié et commenté au Rapport annuel : portée la plus forte). Un arrêt sans B ni R est diffusé sans portée particulière ; </w:t>
      </w:r>
      <w:r>
        <w:rPr>
          <w:b/>
          <w:bCs/>
        </w:rPr>
        <w:t xml:space="preserve">L</w:t>
      </w:r>
      <w:r>
        <w:rPr>
          <w:b w:val="false"/>
          <w:bCs w:val="false"/>
        </w:rPr>
        <w:t xml:space="preserve"> et </w:t>
      </w:r>
      <w:r>
        <w:rPr>
          <w:b/>
          <w:bCs/>
        </w:rPr>
        <w:t xml:space="preserve">C</w:t>
      </w:r>
      <w:r>
        <w:rPr>
          <w:b w:val="false"/>
          <w:bCs w:val="false"/>
        </w:rPr>
        <w:t xml:space="preserve"> sont des outils de communication. Avant 2021 : </w:t>
      </w:r>
      <w:r>
        <w:rPr>
          <w:b/>
          <w:bCs/>
        </w:rPr>
        <w:t xml:space="preserve">D</w:t>
      </w:r>
      <w:r>
        <w:rPr>
          <w:b w:val="false"/>
          <w:bCs w:val="false"/>
        </w:rPr>
        <w:t xml:space="preserve"> (diffusion), </w:t>
      </w:r>
      <w:r>
        <w:rPr>
          <w:b/>
          <w:bCs/>
        </w:rPr>
        <w:t xml:space="preserve">P</w:t>
      </w:r>
      <w:r>
        <w:rPr>
          <w:b w:val="false"/>
          <w:bCs w:val="false"/>
        </w:rPr>
        <w:t xml:space="preserve"> (Bulletin), </w:t>
      </w:r>
      <w:r>
        <w:rPr>
          <w:b/>
          <w:bCs/>
        </w:rPr>
        <w:t xml:space="preserve">B</w:t>
      </w:r>
      <w:r>
        <w:rPr>
          <w:b w:val="false"/>
          <w:bCs w:val="false"/>
        </w:rPr>
        <w:t xml:space="preserve"> (Bulletin d'information), </w:t>
      </w:r>
      <w:r>
        <w:rPr>
          <w:b/>
          <w:bCs/>
        </w:rPr>
        <w:t xml:space="preserve">I</w:t>
      </w:r>
      <w:r>
        <w:rPr>
          <w:b w:val="false"/>
          <w:bCs w:val="false"/>
        </w:rPr>
        <w:t xml:space="preserve"> (grand public), </w:t>
      </w:r>
      <w:r>
        <w:rPr>
          <w:b/>
          <w:bCs/>
        </w:rPr>
        <w:t xml:space="preserve">R</w:t>
      </w:r>
      <w:r>
        <w:rPr>
          <w:b w:val="false"/>
          <w:bCs w:val="false"/>
        </w:rPr>
        <w:t xml:space="preserve"> (rapport annuel). Ne vous fiez jamais au seul sommaire : revenez à l'arrêt, moyens compris.</w:t>
      </w:r>
    </w:p>
    <w:p>
      <w:pPr>
        <w:pStyle w:val="Heading2"/>
        <w:spacing w:after="120" w:before="240"/>
      </w:pPr>
      <w:r>
        <w:rPr>
          <w:b w:val="false"/>
          <w:bCs w:val="false"/>
        </w:rPr>
        <w:t xml:space="preserve">8.2. L'avis de l'avocat général</w:t>
      </w:r>
    </w:p>
    <w:p>
      <w:pPr>
        <w:spacing w:after="140" w:line="276"/>
      </w:pPr>
      <w:r>
        <w:rPr>
          <w:b w:val="false"/>
          <w:bCs w:val="false"/>
        </w:rPr>
        <w:t xml:space="preserve">Quand l'arrêt mentionne un avis de l'avocat général, c'est le signe que le sujet est important et que la question présente un intérêt réel. Un avis suppose souvent que les parties ont beaucoup conclu. Indicateur de poids, à confirmer par les autres signaux.</w:t>
      </w:r>
    </w:p>
    <w:p>
      <w:pPr>
        <w:pStyle w:val="Heading2"/>
        <w:spacing w:after="120" w:before="240"/>
      </w:pPr>
      <w:r>
        <w:rPr>
          <w:b w:val="false"/>
          <w:bCs w:val="false"/>
        </w:rPr>
        <w:t xml:space="preserve">8.3. Le chapeau intérieur dans un arrêt de rejet</w:t>
      </w:r>
    </w:p>
    <w:p>
      <w:pPr>
        <w:spacing w:after="140" w:line="276"/>
      </w:pPr>
      <w:r>
        <w:rPr>
          <w:b w:val="false"/>
          <w:bCs w:val="false"/>
        </w:rPr>
        <w:t xml:space="preserve">Quand la Cour veut donner une portée doctrinale à un rejet, elle place en tête de sa réponse un « chapeau intérieur » : une formule abstraite énonçant l'interprétation de la règle, avant de constater que la cour d'appel l'a correctement appliquée. C'est l'équivalent, pour un rejet, du chapeau d'une cassation. Sa présence transforme un simple rejet en arrêt de principe.</w:t>
      </w:r>
    </w:p>
    <w:p>
      <w:pPr>
        <w:pStyle w:val="Heading2"/>
        <w:spacing w:after="120" w:before="240"/>
      </w:pPr>
      <w:r>
        <w:rPr>
          <w:b w:val="false"/>
          <w:bCs w:val="false"/>
        </w:rPr>
        <w:t xml:space="preserve">8.4. Le revirement et son application dans le temps</w:t>
      </w:r>
    </w:p>
    <w:p>
      <w:pPr>
        <w:spacing w:after="140" w:line="276"/>
      </w:pPr>
      <w:r>
        <w:rPr>
          <w:b w:val="false"/>
          <w:bCs w:val="false"/>
        </w:rPr>
        <w:t xml:space="preserve">Un revirement produit en principe un effet rétroactif : la règle nouvelle s'applique aux faits antérieurs et aux instances en cours. Il n'existe pas de droit acquis à une jurisprudence figée. Par exception, la Cour module cet effet quand l'application immédiate porterait une atteinte disproportionnée au droit d'accès au juge ou au procès équitable. Cherchez ce troisième temps dans l'arrêt.</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Illustration — revirement et modulation</w:t>
            </w:r>
          </w:p>
          <w:p>
            <w:pPr>
              <w:spacing w:after="60" w:line="264"/>
            </w:pPr>
            <w:r>
              <w:rPr>
                <w:b w:val="false"/>
                <w:bCs w:val="false"/>
                <w:i/>
                <w:iCs/>
                <w:color w:val="2B2B2B"/>
                <w:sz w:val="20"/>
                <w:szCs w:val="20"/>
              </w:rPr>
              <w:t xml:space="preserve">Principe (2004) : « Les exigences de sécurité juridique et la protection de la confiance légitime […] ne sauraient consacrer un droit acquis à une jurisprudence constante dont l'évolution relève de l'office du juge. »</w:t>
            </w:r>
          </w:p>
          <w:p>
            <w:pPr>
              <w:spacing w:after="60" w:line="264"/>
            </w:pPr>
            <w:r>
              <w:rPr>
                <w:b w:val="false"/>
                <w:bCs w:val="false"/>
                <w:i/>
                <w:iCs/>
                <w:color w:val="2B2B2B"/>
                <w:sz w:val="20"/>
                <w:szCs w:val="20"/>
              </w:rPr>
              <w:t xml:space="preserve">Exception : l'application immédiate est écartée lorsqu'elle prive une partie de son droit d'accès au juge ou à un procès équitable (article 6 § 1 de la Convention EDH).</w:t>
            </w:r>
          </w:p>
          <w:p>
            <w:pPr>
              <w:spacing w:after="80"/>
            </w:pPr>
            <w:r>
              <w:rPr>
                <w:color w:val="6A6A6A"/>
                <w:sz w:val="16"/>
                <w:szCs w:val="16"/>
              </w:rPr>
              <w:t xml:space="preserve">2e Civ., 8 juillet 2004, n° 03-14.717 ; Ass. plén., 21 décembre 2006, n° 05-20.282</w:t>
            </w:r>
          </w:p>
          <w:p>
            <w:pPr>
              <w:spacing w:after="0" w:line="264"/>
            </w:pPr>
            <w:r>
              <w:rPr>
                <w:b/>
                <w:bCs/>
                <w:color w:val="2E4C6E"/>
                <w:sz w:val="20"/>
                <w:szCs w:val="20"/>
              </w:rPr>
              <w:t xml:space="preserve">À lire ainsi : </w:t>
            </w:r>
            <w:r>
              <w:rPr>
                <w:b w:val="false"/>
                <w:bCs w:val="false"/>
                <w:sz w:val="20"/>
                <w:szCs w:val="20"/>
              </w:rPr>
              <w:t xml:space="preserve">face à un revirement, repérez la formule. « </w:t>
            </w:r>
            <w:r>
              <w:rPr>
                <w:b/>
                <w:bCs/>
                <w:sz w:val="20"/>
                <w:szCs w:val="20"/>
              </w:rPr>
              <w:t xml:space="preserve">pas de droit acquis à une jurisprudence figée</w:t>
            </w:r>
            <w:r>
              <w:rPr>
                <w:b w:val="false"/>
                <w:bCs w:val="false"/>
                <w:sz w:val="20"/>
                <w:szCs w:val="20"/>
              </w:rPr>
              <w:t xml:space="preserve"> » annonce une application immédiate et rétroactive. La réserve des situations antérieures annonce un différé.</w:t>
            </w:r>
          </w:p>
        </w:tc>
      </w:tr>
    </w:tbl>
    <w:p>
      <w:pPr>
        <w:pStyle w:val="Heading1"/>
        <w:spacing w:after="160" w:before="340"/>
      </w:pPr>
      <w:r>
        <w:rPr>
          <w:b w:val="false"/>
          <w:bCs w:val="false"/>
        </w:rPr>
        <w:t xml:space="preserve">9. Les situations atypiques de la technique de cassation</w:t>
      </w:r>
    </w:p>
    <w:p>
      <w:pPr>
        <w:spacing w:after="140" w:line="276"/>
      </w:pPr>
      <w:r>
        <w:rPr>
          <w:b w:val="false"/>
          <w:bCs w:val="false"/>
        </w:rPr>
        <w:t xml:space="preserve">Au-delà du schéma cassation / rejet, la Cour dispose de procédés particuliers. Les reconnaître évite les contresens, car ils changent la portée de l'arrêt ou la stratégie de la Cour.</w:t>
      </w:r>
    </w:p>
    <w:p>
      <w:pPr>
        <w:pStyle w:val="Heading2"/>
        <w:spacing w:after="120" w:before="240"/>
      </w:pPr>
      <w:r>
        <w:rPr>
          <w:b w:val="false"/>
          <w:bCs w:val="false"/>
        </w:rPr>
        <w:t xml:space="preserve">9.1. Le moyen relevé d'office</w:t>
      </w:r>
    </w:p>
    <w:p>
      <w:pPr>
        <w:spacing w:after="140" w:line="276"/>
      </w:pPr>
      <w:r>
        <w:rPr>
          <w:b w:val="false"/>
          <w:bCs w:val="false"/>
        </w:rPr>
        <w:t xml:space="preserve">La Cour n'est en principe saisie que des moyens du pourvoi. Par exception, elle peut relever d'office un moyen de pur droit (article 620, alinéa 2), après avoir avisé les parties pour qu'elles présentent leurs observations (article 1015). Y recourir signifie qu'elle juge la question assez importante pour casser sur un fondement que personne n'avait invoqué : signal fort de volonté normative. Repérez la mention « moyen relevé d'office » ou « après avis donné aux parties ».</w:t>
      </w:r>
    </w:p>
    <w:p>
      <w:pPr>
        <w:pStyle w:val="Heading2"/>
        <w:spacing w:after="120" w:before="240"/>
      </w:pPr>
      <w:r>
        <w:rPr>
          <w:b w:val="false"/>
          <w:bCs w:val="false"/>
        </w:rPr>
        <w:t xml:space="preserve">9.2. La substitution de motifs de pur droit</w:t>
      </w:r>
    </w:p>
    <w:p>
      <w:pPr>
        <w:spacing w:after="140" w:line="276"/>
      </w:pPr>
      <w:r>
        <w:rPr>
          <w:b w:val="false"/>
          <w:bCs w:val="false"/>
        </w:rPr>
        <w:t xml:space="preserve">Technique de rejet à valeur potentiellement normative. La Cour approuve la solution des juges du fond, mais non leur raisonnement : elle substitue le sien (article 620, alinéa 1er), après avis aux parties (article 1015). Trois conditions : elle s'appuie sur les faits constants, elle applique la bonne règle (un motif de pur droit tiré des seuls éléments de la décision attaquée), et son raisonnement conduit à la même solution concrète. Stratégie : sauver l'arrêt tout en affirmant la règle exacte.</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Illustration — rejet par substitution de motifs</w:t>
            </w:r>
          </w:p>
          <w:p>
            <w:pPr>
              <w:spacing w:after="60" w:line="264"/>
            </w:pPr>
            <w:r>
              <w:rPr>
                <w:b w:val="false"/>
                <w:bCs w:val="false"/>
                <w:i/>
                <w:iCs/>
                <w:color w:val="2B2B2B"/>
                <w:sz w:val="20"/>
                <w:szCs w:val="20"/>
              </w:rPr>
              <w:t xml:space="preserve">« L'intérêt d'une partie à interjeter appel doit être apprécié au jour où a été formé l'appel […]. »</w:t>
            </w:r>
          </w:p>
          <w:p>
            <w:pPr>
              <w:spacing w:after="60" w:line="264"/>
            </w:pPr>
            <w:r>
              <w:rPr>
                <w:b w:val="false"/>
                <w:bCs w:val="false"/>
                <w:i/>
                <w:iCs/>
                <w:color w:val="2B2B2B"/>
                <w:sz w:val="20"/>
                <w:szCs w:val="20"/>
              </w:rPr>
              <w:t xml:space="preserve">« Par ce motif de pur droit, substitué […] à ceux critiqués, la décision déférée se trouve légalement justifiée de ce chef. Le moyen ne peut donc être accueilli. »</w:t>
            </w:r>
          </w:p>
          <w:p>
            <w:pPr>
              <w:spacing w:after="80"/>
            </w:pPr>
            <w:r>
              <w:rPr>
                <w:color w:val="6A6A6A"/>
                <w:sz w:val="16"/>
                <w:szCs w:val="16"/>
              </w:rPr>
              <w:t xml:space="preserve">Com., 29 janvier 2020, n° 18-22.137 (publié)</w:t>
            </w:r>
          </w:p>
          <w:p>
            <w:pPr>
              <w:spacing w:after="0" w:line="264"/>
            </w:pPr>
            <w:r>
              <w:rPr>
                <w:b/>
                <w:bCs/>
                <w:color w:val="2E4C6E"/>
                <w:sz w:val="20"/>
                <w:szCs w:val="20"/>
              </w:rPr>
              <w:t xml:space="preserve">À lire ainsi : </w:t>
            </w:r>
            <w:r>
              <w:rPr>
                <w:b w:val="false"/>
                <w:bCs w:val="false"/>
                <w:sz w:val="20"/>
                <w:szCs w:val="20"/>
              </w:rPr>
              <w:t xml:space="preserve">c'est un </w:t>
            </w:r>
            <w:r>
              <w:rPr>
                <w:b/>
                <w:bCs/>
                <w:sz w:val="20"/>
                <w:szCs w:val="20"/>
              </w:rPr>
              <w:t xml:space="preserve">rejet</w:t>
            </w:r>
            <w:r>
              <w:rPr>
                <w:b w:val="false"/>
                <w:bCs w:val="false"/>
                <w:sz w:val="20"/>
                <w:szCs w:val="20"/>
              </w:rPr>
              <w:t xml:space="preserve">, mais la Cour a remplacé le raisonnement de la cour d'appel par le sien et énonce une règle. Le pourvoi échoue, et pourtant l'arrêt fait doctrine. La forme (rejet) ne dit pas tout : lisez le motif substitué.</w:t>
            </w:r>
          </w:p>
        </w:tc>
      </w:tr>
    </w:tbl>
    <w:p>
      <w:pPr>
        <w:pStyle w:val="Heading2"/>
        <w:spacing w:after="120" w:before="240"/>
      </w:pPr>
      <w:r>
        <w:rPr>
          <w:b w:val="false"/>
          <w:bCs w:val="false"/>
        </w:rPr>
        <w:t xml:space="preserve">9.3. La requalification du cas d'ouverture : sanctionner ou sauver</w:t>
      </w:r>
    </w:p>
    <w:p>
      <w:pPr>
        <w:spacing w:after="140" w:line="276"/>
      </w:pPr>
      <w:r>
        <w:rPr>
          <w:b w:val="false"/>
          <w:bCs w:val="false"/>
        </w:rPr>
        <w:t xml:space="preserve">La Cour n'est pas liée par la qualification que le pourvoi donne à son grief. Elle choisit le cas d'ouverture qui sert sa politique jurisprudentielle, et ce choix est stratégique.</w:t>
      </w:r>
    </w:p>
    <w:p>
      <w:pPr>
        <w:spacing w:after="140" w:line="276"/>
      </w:pPr>
      <w:r>
        <w:rPr>
          <w:b/>
          <w:bCs/>
        </w:rPr>
        <w:t xml:space="preserve">Pour sanctionner</w:t>
      </w:r>
      <w:r>
        <w:rPr>
          <w:b w:val="false"/>
          <w:bCs w:val="false"/>
        </w:rPr>
        <w:t xml:space="preserve">, elle module l'intensité : la </w:t>
      </w:r>
      <w:r>
        <w:rPr>
          <w:b/>
          <w:bCs/>
        </w:rPr>
        <w:t xml:space="preserve">violation de la loi</w:t>
      </w:r>
      <w:r>
        <w:rPr>
          <w:b w:val="false"/>
          <w:bCs w:val="false"/>
        </w:rPr>
        <w:t xml:space="preserve"> avec chapeau est le signal le plus fort (elle pose une règle et condamne la solution) ; le </w:t>
      </w:r>
      <w:r>
        <w:rPr>
          <w:b/>
          <w:bCs/>
        </w:rPr>
        <w:t xml:space="preserve">manque de base légale</w:t>
      </w:r>
      <w:r>
        <w:rPr>
          <w:b w:val="false"/>
          <w:bCs w:val="false"/>
        </w:rPr>
        <w:t xml:space="preserve"> sanctionne plus doucement, en invitant la cour de renvoi à compléter, sans trancher brutalement ; le </w:t>
      </w:r>
      <w:r>
        <w:rPr>
          <w:b/>
          <w:bCs/>
        </w:rPr>
        <w:t xml:space="preserve">défaut de motifs</w:t>
      </w:r>
      <w:r>
        <w:rPr>
          <w:b w:val="false"/>
          <w:bCs w:val="false"/>
        </w:rPr>
        <w:t xml:space="preserve"> ne sanctionne que la forme, sans prise de position sur le fond.</w:t>
      </w:r>
    </w:p>
    <w:p>
      <w:pPr>
        <w:spacing w:after="140" w:line="276"/>
      </w:pPr>
      <w:r>
        <w:rPr>
          <w:b/>
          <w:bCs/>
        </w:rPr>
        <w:t xml:space="preserve">Pour sauver</w:t>
      </w:r>
      <w:r>
        <w:rPr>
          <w:b w:val="false"/>
          <w:bCs w:val="false"/>
        </w:rPr>
        <w:t xml:space="preserve"> l'arrêt d'appel imparfait, elle dispose de plusieurs procédés : la </w:t>
      </w:r>
      <w:r>
        <w:rPr>
          <w:b/>
          <w:bCs/>
        </w:rPr>
        <w:t xml:space="preserve">substitution d'un motif de pur droit</w:t>
      </w:r>
      <w:r>
        <w:rPr>
          <w:b w:val="false"/>
          <w:bCs w:val="false"/>
        </w:rPr>
        <w:t xml:space="preserve"> (ci-dessus) ; l'</w:t>
      </w:r>
      <w:r>
        <w:rPr>
          <w:b/>
          <w:bCs/>
        </w:rPr>
        <w:t xml:space="preserve">abstraction d'un motif erroné mais surabondant</w:t>
      </w:r>
      <w:r>
        <w:rPr>
          <w:b w:val="false"/>
          <w:bCs w:val="false"/>
        </w:rPr>
        <w:t xml:space="preserve"> (le motif vicié est écarté, l'arrêt survit grâce aux autres) ; la </w:t>
      </w:r>
      <w:r>
        <w:rPr>
          <w:b/>
          <w:bCs/>
        </w:rPr>
        <w:t xml:space="preserve">déduction que la Cour opère elle-même</w:t>
      </w:r>
      <w:r>
        <w:rPr>
          <w:b w:val="false"/>
          <w:bCs w:val="false"/>
        </w:rPr>
        <w:t xml:space="preserve"> à partir des constatations du juge (« a fait ressortir », « de sorte que », « ce dont il résulte que ») ; le </w:t>
      </w:r>
      <w:r>
        <w:rPr>
          <w:b/>
          <w:bCs/>
        </w:rPr>
        <w:t xml:space="preserve">rejet pour manque en droit</w:t>
      </w:r>
      <w:r>
        <w:rPr>
          <w:b w:val="false"/>
          <w:bCs w:val="false"/>
        </w:rPr>
        <w:t xml:space="preserve">.</w:t>
      </w:r>
    </w:p>
    <w:p>
      <w:pPr>
        <w:spacing w:after="140" w:line="276"/>
      </w:pPr>
      <w:r>
        <w:rPr>
          <w:b w:val="false"/>
          <w:bCs w:val="false"/>
        </w:rPr>
        <w:t xml:space="preserve">Conséquence de lecture : un même arrêt d'appel légèrement défaillant peut finir en </w:t>
      </w:r>
      <w:r>
        <w:rPr>
          <w:b/>
          <w:bCs/>
        </w:rPr>
        <w:t xml:space="preserve">cassation</w:t>
      </w:r>
      <w:r>
        <w:rPr>
          <w:b w:val="false"/>
          <w:bCs w:val="false"/>
        </w:rPr>
        <w:t xml:space="preserve"> ou en </w:t>
      </w:r>
      <w:r>
        <w:rPr>
          <w:b/>
          <w:bCs/>
        </w:rPr>
        <w:t xml:space="preserve">rejet</w:t>
      </w:r>
      <w:r>
        <w:rPr>
          <w:b w:val="false"/>
          <w:bCs w:val="false"/>
        </w:rPr>
        <w:t xml:space="preserve"> selon que la Cour veut sanctionner ou sauver. Le choix qu'elle fait est en lui-même signifiant.</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Illustration — sauvetage (motif erroné mais surabondant)</w:t>
            </w:r>
          </w:p>
          <w:p>
            <w:pPr>
              <w:spacing w:after="60" w:line="264"/>
            </w:pPr>
            <w:r>
              <w:rPr>
                <w:b w:val="false"/>
                <w:bCs w:val="false"/>
                <w:i/>
                <w:iCs/>
                <w:color w:val="2B2B2B"/>
                <w:sz w:val="20"/>
                <w:szCs w:val="20"/>
              </w:rPr>
              <w:t xml:space="preserve">« […] qu'abstraction faite de motifs erronés mais surabondants critiqués par la première branche, la cour d'appel a ainsi, dans l'exercice de son pouvoir souverain, fait ressortir que les désordres constatés étaient inhérents à la chose vendue […] ; que le moyen n'est pas fondé. »</w:t>
            </w:r>
          </w:p>
          <w:p>
            <w:pPr>
              <w:spacing w:after="80"/>
            </w:pPr>
            <w:r>
              <w:rPr>
                <w:color w:val="6A6A6A"/>
                <w:sz w:val="16"/>
                <w:szCs w:val="16"/>
              </w:rPr>
              <w:t xml:space="preserve">1re Civ., 8 janvier 2020, n° 18-21.526</w:t>
            </w:r>
          </w:p>
          <w:p>
            <w:pPr>
              <w:spacing w:after="0" w:line="264"/>
            </w:pPr>
            <w:r>
              <w:rPr>
                <w:b/>
                <w:bCs/>
                <w:color w:val="2E4C6E"/>
                <w:sz w:val="20"/>
                <w:szCs w:val="20"/>
              </w:rPr>
              <w:t xml:space="preserve">À lire ainsi : </w:t>
            </w:r>
            <w:r>
              <w:rPr>
                <w:b w:val="false"/>
                <w:bCs w:val="false"/>
                <w:sz w:val="20"/>
                <w:szCs w:val="20"/>
              </w:rPr>
              <w:t xml:space="preserve">la branche critiquait un motif réellement vicié. L'arrêt survit grâce à d'autres motifs souverains. Ne lisez pas ce rejet comme une approbation du motif attaqué : la Cour l'abandonne, elle ne le valide pas.</w:t>
            </w:r>
          </w:p>
        </w:tc>
      </w:tr>
    </w:tbl>
    <w:p>
      <w:pPr>
        <w:pStyle w:val="Heading2"/>
        <w:spacing w:after="120" w:before="240"/>
      </w:pPr>
      <w:r>
        <w:rPr>
          <w:b w:val="false"/>
          <w:bCs w:val="false"/>
        </w:rPr>
        <w:t xml:space="preserve">9.4. Le pourvoi dans l'intérêt de la loi</w:t>
      </w:r>
    </w:p>
    <w:p>
      <w:pPr>
        <w:spacing w:after="140" w:line="276"/>
      </w:pPr>
      <w:r>
        <w:rPr>
          <w:b w:val="false"/>
          <w:bCs w:val="false"/>
        </w:rPr>
        <w:t xml:space="preserve">Le procureur général près la Cour de cassation peut se pourvoir contre une décision devenue irrévocable, dans le seul but de faire trancher une question de principe (articles 618-1 et 639). La cassation éventuelle est sans effet sur la situation des parties : elle ne profite ni ne nuit à personne. La portée est, par construction, purement normative : la Cour ne parle que pour dire le droit.</w:t>
      </w:r>
    </w:p>
    <w:p>
      <w:pPr>
        <w:pStyle w:val="Heading2"/>
        <w:spacing w:after="120" w:before="240"/>
      </w:pPr>
      <w:r>
        <w:rPr>
          <w:b w:val="false"/>
          <w:bCs w:val="false"/>
        </w:rPr>
        <w:t xml:space="preserve">9.5. La cassation sans renvoi</w:t>
      </w:r>
    </w:p>
    <w:p>
      <w:pPr>
        <w:spacing w:after="140" w:line="276"/>
      </w:pPr>
      <w:r>
        <w:rPr>
          <w:b w:val="false"/>
          <w:bCs w:val="false"/>
        </w:rPr>
        <w:t xml:space="preserve">La Cour peut, en cassant, trancher elle-même le fond sans renvoyer (article L. 411-3 du code de l'organisation judiciaire), lorsque les faits constatés lui permettent d'appliquer la règle appropriée, ou pour mettre fin au litige dans l'intérêt d'une bonne administration de la justice. Stratégie : clore définitivement. Elle marque souvent que la solution s'impose avec évidence.</w:t>
      </w:r>
    </w:p>
    <w:p>
      <w:pPr>
        <w:pStyle w:val="Heading2"/>
        <w:spacing w:after="120" w:before="240"/>
      </w:pPr>
      <w:r>
        <w:rPr>
          <w:b w:val="false"/>
          <w:bCs w:val="false"/>
        </w:rPr>
        <w:t xml:space="preserve">9.6. La question préjudicielle à la CJUE et le refus de renvoi</w:t>
      </w:r>
    </w:p>
    <w:p>
      <w:pPr>
        <w:spacing w:after="140" w:line="276"/>
      </w:pPr>
      <w:r>
        <w:rPr>
          <w:b w:val="false"/>
          <w:bCs w:val="false"/>
        </w:rPr>
        <w:t xml:space="preserve">Lorsqu'une question d'interprétation du droit de l'Union commande la solution et soulève un doute raisonnable, la Cour sursoit à statuer et renvoie à la Cour de justice de l'Union européenne (article 267 du TFUE). Elle peut au contraire refuser le renvoi en motivant l'absence de doute raisonnable (théorie de l'acte clair ou éclairé). Ces arrêts adoptent souvent une motivation enrichie exposant les interprétations en présence. Le renvoi signale une question sérieuse, dont la réponse viendra de Luxembourg.</w:t>
      </w:r>
    </w:p>
    <w:p>
      <w:pPr>
        <w:pStyle w:val="Heading2"/>
        <w:spacing w:after="120" w:before="240"/>
      </w:pPr>
      <w:r>
        <w:rPr>
          <w:b w:val="false"/>
          <w:bCs w:val="false"/>
        </w:rPr>
        <w:t xml:space="preserve">9.7. La question prioritaire de constitutionnalité (QPC)</w:t>
      </w:r>
    </w:p>
    <w:p>
      <w:pPr>
        <w:spacing w:after="140" w:line="276"/>
      </w:pPr>
      <w:r>
        <w:rPr>
          <w:b w:val="false"/>
          <w:bCs w:val="false"/>
        </w:rPr>
        <w:t xml:space="preserve">Saisie d'une QPC, la Cour joue un rôle de filtre : elle transmet la question au Conseil constitutionnel, ou refuse de la transmettre. La transmission suppose que la disposition soit applicable au litige, qu'elle n'ait pas déjà été déclarée conforme, et que la question soit sérieuse ou nouvelle. La décision sur la QPC est un exercice distinct du sort du pourvoi au fond : ne confondez pas les deux.</w:t>
      </w:r>
    </w:p>
    <w:p>
      <w:pPr>
        <w:pStyle w:val="Heading2"/>
        <w:spacing w:after="120" w:before="240"/>
      </w:pPr>
      <w:r>
        <w:rPr>
          <w:b w:val="false"/>
          <w:bCs w:val="false"/>
        </w:rPr>
        <w:t xml:space="preserve">9.8. La demande d'avis et l'avis entre chambres</w:t>
      </w:r>
    </w:p>
    <w:p>
      <w:pPr>
        <w:spacing w:after="140" w:line="276"/>
      </w:pPr>
      <w:r>
        <w:rPr>
          <w:b w:val="false"/>
          <w:bCs w:val="false"/>
        </w:rPr>
        <w:t xml:space="preserve">Deux mécanismes consultatifs. Sur le fondement de l'article L. 441-1 du code de l'organisation judiciaire, une juridiction du fond peut, avant de juger, solliciter l'avis de la Cour sur une question de droit nouvelle, présentant une difficulté sérieuse et se posant dans de nombreux litiges. L'avis (« EST D'AVIS QUE… ») ne lie personne, mais son autorité doctrinale est forte. À ne pas confondre avec l'avis entre chambres (article 1015-1, vu au 7.4), où c'est une chambre de la Cour qui consulte une autre, la solution devenant la doctrine de la Cour tout entière.</w:t>
      </w:r>
    </w:p>
    <w:p>
      <w:pPr>
        <w:pStyle w:val="Heading1"/>
        <w:spacing w:after="160" w:before="340"/>
      </w:pPr>
      <w:r>
        <w:rPr>
          <w:b w:val="false"/>
          <w:bCs w:val="false"/>
        </w:rPr>
        <w:t xml:space="preserve">10. La motivation enrichie (guide de septembre 2023)</w:t>
      </w:r>
    </w:p>
    <w:p>
      <w:pPr>
        <w:spacing w:after="140" w:line="276"/>
      </w:pPr>
      <w:r>
        <w:rPr>
          <w:b w:val="false"/>
          <w:bCs w:val="false"/>
        </w:rPr>
        <w:t xml:space="preserve">Depuis la réforme de 2019, la Cour peut adopter une « motivation enrichie ». Un guide de rédaction de septembre 2023, élaboré par un groupe de travail présidé par Agnès Martinel, doyenne de la deuxième chambre civile, sur lettre de mission du premier président Christophe Soulard, en fixe la méthode. Savoir la repérer est précieux : le choix d'enrichir la motivation est un acte de politique jurisprudentielle délibéré, qui renforce la portée normative de l'arrêt.</w:t>
      </w:r>
    </w:p>
    <w:p>
      <w:pPr>
        <w:pStyle w:val="Heading2"/>
        <w:spacing w:after="120" w:before="240"/>
      </w:pPr>
      <w:r>
        <w:rPr>
          <w:b w:val="false"/>
          <w:bCs w:val="false"/>
        </w:rPr>
        <w:t xml:space="preserve">10.1. Définition, et distinction avec la motivation développée</w:t>
      </w:r>
    </w:p>
    <w:p>
      <w:pPr>
        <w:spacing w:after="140" w:line="276"/>
      </w:pPr>
      <w:r>
        <w:rPr>
          <w:b w:val="false"/>
          <w:bCs w:val="false"/>
        </w:rPr>
        <w:t xml:space="preserve">La motivation enrichie mentionne des éléments traditionnellement passés sous silence et les articule de manière à en faire les maillons intermédiaires du raisonnement qui justifie le principe posé. Elle se distingue de la motivation développée : celle-ci mentionne un élément (par exemple la simple citation d'un précédent) sans l'intégrer à la chaîne argumentative. Le critère est là : dans la motivation enrichie, chaque élément (texte, jurisprudence, doctrine, travaux parlementaires, méthode d'interprétation) est relié par des connecteurs logiques et participe à la démonstration.</w:t>
      </w:r>
    </w:p>
    <w:p>
      <w:pPr>
        <w:spacing w:after="140" w:line="276"/>
      </w:pPr>
      <w:r>
        <w:rPr>
          <w:b w:val="false"/>
          <w:bCs w:val="false"/>
        </w:rPr>
        <w:t xml:space="preserve">Observation essentielle : l'enrichissement ne bouleverse pas la structure. Les trois parties (faits et procédure, examen des moyens, dispositif) sont conservées, la technique de cassation reste la même, le syllogisme demeure. C'est essentiellement la majeure, l'énoncé de la règle, qui est enrichie. Un arrêt en motivation enrichie n'est donc pas un objet exotique : c'est un arrêt ordinaire dont la partie « règle de droit » a été explicitée.</w:t>
      </w:r>
    </w:p>
    <w:p>
      <w:pPr>
        <w:pStyle w:val="Heading2"/>
        <w:spacing w:after="120" w:before="240"/>
      </w:pPr>
      <w:r>
        <w:rPr>
          <w:b w:val="false"/>
          <w:bCs w:val="false"/>
        </w:rPr>
        <w:t xml:space="preserve">10.2. Quand la Cour l'emploie</w:t>
      </w:r>
    </w:p>
    <w:p>
      <w:pPr>
        <w:spacing w:after="140" w:line="276"/>
      </w:pPr>
      <w:r>
        <w:rPr>
          <w:b w:val="false"/>
          <w:bCs w:val="false"/>
        </w:rPr>
        <w:t xml:space="preserve">Le guide distingue un noyau dur, où la motivation enrichie est préconisée, et des hypothèses où elle est facultative mais encouragée.</w:t>
      </w:r>
    </w:p>
    <w:p>
      <w:pPr>
        <w:spacing w:after="140" w:line="276"/>
      </w:pPr>
      <w:r>
        <w:rPr>
          <w:b/>
          <w:bCs/>
        </w:rPr>
        <w:t xml:space="preserve">Noyau dur :</w:t>
      </w:r>
      <w:r>
        <w:rPr>
          <w:b w:val="false"/>
          <w:bCs w:val="false"/>
        </w:rPr>
        <w:t xml:space="preserve"> le revirement de jurisprudence ; l'arrêt répondant à un moyen tiré de la violation d'un droit ou d'un principe fondamental, en particulier le contrôle de proportionnalité (contrôle de conventionnalité) ; le renvoi préjudiciel à la CJUE ou le refus motivé de renvoi ; la demande d'avis consultatif à la Cour EDH (Protocole n° 16).</w:t>
      </w:r>
    </w:p>
    <w:p>
      <w:pPr>
        <w:spacing w:after="140" w:line="276"/>
      </w:pPr>
      <w:r>
        <w:rPr>
          <w:b/>
          <w:bCs/>
        </w:rPr>
        <w:t xml:space="preserve">Facultative mais encouragée :</w:t>
      </w:r>
      <w:r>
        <w:rPr>
          <w:b w:val="false"/>
          <w:bCs w:val="false"/>
        </w:rPr>
        <w:t xml:space="preserve"> l'arrêt tranchant une question de principe ou présentant un intérêt pour le développement du droit et l'unité de la jurisprudence ; la réponse à une demande d'avis (article L. 441-1) ou à un avis inter-chambres (article 1015-1) ; l'arrêt à fort retentissement social ou médiatique (finalité pédagogique pour un public non juriste) ; la QPC transmise ou non ; le renvoi au Conseil d'État ; le renvoi au Tribunal des conflits.</w:t>
      </w:r>
    </w:p>
    <w:p>
      <w:pPr>
        <w:spacing w:after="140" w:line="276"/>
      </w:pPr>
      <w:r>
        <w:rPr>
          <w:b w:val="false"/>
          <w:bCs w:val="false"/>
        </w:rPr>
        <w:t xml:space="preserve">Indice de lecture : la motivation enrichie peut ne concerner que certains moyens. Ne concluez pas qu'un arrêt est tout entier en motivation classique au seul motif qu'un moyen est traité brièvement.</w:t>
      </w:r>
    </w:p>
    <w:p>
      <w:pPr>
        <w:pStyle w:val="Heading2"/>
        <w:spacing w:after="120" w:before="240"/>
      </w:pPr>
      <w:r>
        <w:rPr>
          <w:b w:val="false"/>
          <w:bCs w:val="false"/>
        </w:rPr>
        <w:t xml:space="preserve">10.3. Ce que vous y trouverez, et comment la repérer</w:t>
      </w:r>
    </w:p>
    <w:p>
      <w:pPr>
        <w:spacing w:after="140" w:line="276"/>
      </w:pPr>
      <w:r>
        <w:rPr>
          <w:b w:val="false"/>
          <w:bCs w:val="false"/>
        </w:rPr>
        <w:t xml:space="preserve">La présence de plusieurs des indices suivants signale une motivation enrichie. La grille les récapitule.</w:t>
      </w:r>
    </w:p>
    <w:tbl>
      <w:tblPr>
        <w:tblW w:type="dxa" w:w="9000"/>
        <w:tblBorders>
          <w:top w:val="single" w:color="B7C4D2" w:sz="4"/>
          <w:left w:val="single" w:color="B7C4D2" w:sz="4"/>
          <w:bottom w:val="single" w:color="B7C4D2" w:sz="4"/>
          <w:right w:val="single" w:color="B7C4D2" w:sz="4"/>
          <w:insideH w:val="single" w:color="B7C4D2" w:sz="4"/>
          <w:insideV w:val="single" w:color="B7C4D2" w:sz="4"/>
        </w:tblBorders>
      </w:tblPr>
      <w:tblGrid>
        <w:gridCol w:w="4300"/>
        <w:gridCol w:w="4700"/>
      </w:tblGrid>
      <w:tr>
        <w:trPr>
          <w:tblHeader/>
        </w:trPr>
        <w:tc>
          <w:tcPr>
            <w:tcW w:type="dxa" w:w="4300"/>
            <w:shd w:fill="1F3A5F" w:color="auto" w:val="clear"/>
            <w:tcMar>
              <w:top w:type="dxa" w:w="60"/>
              <w:left w:type="dxa" w:w="110"/>
              <w:bottom w:type="dxa" w:w="60"/>
              <w:right w:type="dxa" w:w="110"/>
            </w:tcMar>
          </w:tcPr>
          <w:p>
            <w:pPr>
              <w:spacing w:after="0" w:line="248"/>
            </w:pPr>
            <w:r>
              <w:rPr>
                <w:b/>
                <w:bCs/>
                <w:color w:val="FFFFFF"/>
              </w:rPr>
              <w:t xml:space="preserve">Indice à repérer</w:t>
            </w:r>
          </w:p>
        </w:tc>
        <w:tc>
          <w:tcPr>
            <w:tcW w:type="dxa" w:w="4700"/>
            <w:shd w:fill="1F3A5F" w:color="auto" w:val="clear"/>
            <w:tcMar>
              <w:top w:type="dxa" w:w="60"/>
              <w:left w:type="dxa" w:w="110"/>
              <w:bottom w:type="dxa" w:w="60"/>
              <w:right w:type="dxa" w:w="110"/>
            </w:tcMar>
          </w:tcPr>
          <w:p>
            <w:pPr>
              <w:spacing w:after="0" w:line="248"/>
            </w:pPr>
            <w:r>
              <w:rPr>
                <w:b/>
                <w:bCs/>
                <w:color w:val="FFFFFF"/>
              </w:rPr>
              <w:t xml:space="preserve">Ce qu'il révèle</w:t>
            </w:r>
          </w:p>
        </w:tc>
      </w:tr>
      <w:tr>
        <w:tc>
          <w:tcPr>
            <w:tcW w:type="dxa" w:w="4300"/>
            <w:tcMar>
              <w:top w:type="dxa" w:w="60"/>
              <w:left w:type="dxa" w:w="110"/>
              <w:bottom w:type="dxa" w:w="60"/>
              <w:right w:type="dxa" w:w="110"/>
            </w:tcMar>
          </w:tcPr>
          <w:p>
            <w:pPr>
              <w:spacing w:after="0" w:line="248"/>
            </w:pPr>
            <w:r>
              <w:rPr>
                <w:b/>
                <w:bCs/>
              </w:rPr>
              <w:t xml:space="preserve">Question de droit formulée explicitement</w:t>
            </w:r>
          </w:p>
        </w:tc>
        <w:tc>
          <w:tcPr>
            <w:tcW w:type="dxa" w:w="4700"/>
            <w:tcMar>
              <w:top w:type="dxa" w:w="60"/>
              <w:left w:type="dxa" w:w="110"/>
              <w:bottom w:type="dxa" w:w="60"/>
              <w:right w:type="dxa" w:w="110"/>
            </w:tcMar>
          </w:tcPr>
          <w:p>
            <w:pPr>
              <w:spacing w:after="0" w:line="248"/>
            </w:pPr>
            <w:r>
              <w:rPr>
                <w:b w:val="false"/>
                <w:bCs w:val="false"/>
              </w:rPr>
              <w:t xml:space="preserve">« Le moyen pose la question de savoir si… »</w:t>
            </w:r>
          </w:p>
        </w:tc>
      </w:tr>
      <w:tr>
        <w:tc>
          <w:tcPr>
            <w:tcW w:type="dxa" w:w="4300"/>
            <w:shd w:fill="EAF0F6" w:color="auto" w:val="clear"/>
            <w:tcMar>
              <w:top w:type="dxa" w:w="60"/>
              <w:left w:type="dxa" w:w="110"/>
              <w:bottom w:type="dxa" w:w="60"/>
              <w:right w:type="dxa" w:w="110"/>
            </w:tcMar>
          </w:tcPr>
          <w:p>
            <w:pPr>
              <w:spacing w:after="0" w:line="248"/>
            </w:pPr>
            <w:r>
              <w:rPr>
                <w:b/>
                <w:bCs/>
              </w:rPr>
              <w:t xml:space="preserve">Genèse ou évolution d'un texte exposée</w:t>
            </w:r>
          </w:p>
        </w:tc>
        <w:tc>
          <w:tcPr>
            <w:tcW w:type="dxa" w:w="4700"/>
            <w:shd w:fill="EAF0F6" w:color="auto" w:val="clear"/>
            <w:tcMar>
              <w:top w:type="dxa" w:w="60"/>
              <w:left w:type="dxa" w:w="110"/>
              <w:bottom w:type="dxa" w:w="60"/>
              <w:right w:type="dxa" w:w="110"/>
            </w:tcMar>
          </w:tcPr>
          <w:p>
            <w:pPr>
              <w:spacing w:after="0" w:line="248"/>
            </w:pPr>
            <w:r>
              <w:rPr>
                <w:b w:val="false"/>
                <w:bCs w:val="false"/>
              </w:rPr>
              <w:t xml:space="preserve">Historique législatif, modifications successives, silence du texte</w:t>
            </w:r>
          </w:p>
        </w:tc>
      </w:tr>
      <w:tr>
        <w:tc>
          <w:tcPr>
            <w:tcW w:type="dxa" w:w="4300"/>
            <w:tcMar>
              <w:top w:type="dxa" w:w="60"/>
              <w:left w:type="dxa" w:w="110"/>
              <w:bottom w:type="dxa" w:w="60"/>
              <w:right w:type="dxa" w:w="110"/>
            </w:tcMar>
          </w:tcPr>
          <w:p>
            <w:pPr>
              <w:spacing w:after="0" w:line="248"/>
            </w:pPr>
            <w:r>
              <w:rPr>
                <w:b/>
                <w:bCs/>
              </w:rPr>
              <w:t xml:space="preserve">Précédent(s) articulé(s) dans le raisonnement</w:t>
            </w:r>
          </w:p>
        </w:tc>
        <w:tc>
          <w:tcPr>
            <w:tcW w:type="dxa" w:w="4700"/>
            <w:tcMar>
              <w:top w:type="dxa" w:w="60"/>
              <w:left w:type="dxa" w:w="110"/>
              <w:bottom w:type="dxa" w:w="60"/>
              <w:right w:type="dxa" w:w="110"/>
            </w:tcMar>
          </w:tcPr>
          <w:p>
            <w:pPr>
              <w:spacing w:after="0" w:line="248"/>
            </w:pPr>
            <w:r>
              <w:rPr>
                <w:b w:val="false"/>
                <w:bCs w:val="false"/>
              </w:rPr>
              <w:t xml:space="preserve">La citation est un maillon logique, pas une simple référence</w:t>
            </w:r>
          </w:p>
        </w:tc>
      </w:tr>
      <w:tr>
        <w:tc>
          <w:tcPr>
            <w:tcW w:type="dxa" w:w="4300"/>
            <w:shd w:fill="EAF0F6" w:color="auto" w:val="clear"/>
            <w:tcMar>
              <w:top w:type="dxa" w:w="60"/>
              <w:left w:type="dxa" w:w="110"/>
              <w:bottom w:type="dxa" w:w="60"/>
              <w:right w:type="dxa" w:w="110"/>
            </w:tcMar>
          </w:tcPr>
          <w:p>
            <w:pPr>
              <w:spacing w:after="0" w:line="248"/>
            </w:pPr>
            <w:r>
              <w:rPr>
                <w:b/>
                <w:bCs/>
              </w:rPr>
              <w:t xml:space="preserve">Référence à une autre juridiction suprême</w:t>
            </w:r>
          </w:p>
        </w:tc>
        <w:tc>
          <w:tcPr>
            <w:tcW w:type="dxa" w:w="4700"/>
            <w:shd w:fill="EAF0F6" w:color="auto" w:val="clear"/>
            <w:tcMar>
              <w:top w:type="dxa" w:w="60"/>
              <w:left w:type="dxa" w:w="110"/>
              <w:bottom w:type="dxa" w:w="60"/>
              <w:right w:type="dxa" w:w="110"/>
            </w:tcMar>
          </w:tcPr>
          <w:p>
            <w:pPr>
              <w:spacing w:after="0" w:line="248"/>
            </w:pPr>
            <w:r>
              <w:rPr>
                <w:b w:val="false"/>
                <w:bCs w:val="false"/>
              </w:rPr>
              <w:t xml:space="preserve">Dialogue des juges : CEDH, CJUE, Cons. const., Conseil d'État, TC</w:t>
            </w:r>
          </w:p>
        </w:tc>
      </w:tr>
      <w:tr>
        <w:tc>
          <w:tcPr>
            <w:tcW w:type="dxa" w:w="4300"/>
            <w:tcMar>
              <w:top w:type="dxa" w:w="60"/>
              <w:left w:type="dxa" w:w="110"/>
              <w:bottom w:type="dxa" w:w="60"/>
              <w:right w:type="dxa" w:w="110"/>
            </w:tcMar>
          </w:tcPr>
          <w:p>
            <w:pPr>
              <w:spacing w:after="0" w:line="248"/>
            </w:pPr>
            <w:r>
              <w:rPr>
                <w:b/>
                <w:bCs/>
              </w:rPr>
              <w:t xml:space="preserve">Référence aux travaux parlementaires</w:t>
            </w:r>
          </w:p>
        </w:tc>
        <w:tc>
          <w:tcPr>
            <w:tcW w:type="dxa" w:w="4700"/>
            <w:tcMar>
              <w:top w:type="dxa" w:w="60"/>
              <w:left w:type="dxa" w:w="110"/>
              <w:bottom w:type="dxa" w:w="60"/>
              <w:right w:type="dxa" w:w="110"/>
            </w:tcMar>
          </w:tcPr>
          <w:p>
            <w:pPr>
              <w:spacing w:after="0" w:line="248"/>
            </w:pPr>
            <w:r>
              <w:rPr>
                <w:b w:val="false"/>
                <w:bCs w:val="false"/>
              </w:rPr>
              <w:t xml:space="preserve">Recherche de l'intention du législateur</w:t>
            </w:r>
          </w:p>
        </w:tc>
      </w:tr>
      <w:tr>
        <w:tc>
          <w:tcPr>
            <w:tcW w:type="dxa" w:w="4300"/>
            <w:shd w:fill="EAF0F6" w:color="auto" w:val="clear"/>
            <w:tcMar>
              <w:top w:type="dxa" w:w="60"/>
              <w:left w:type="dxa" w:w="110"/>
              <w:bottom w:type="dxa" w:w="60"/>
              <w:right w:type="dxa" w:w="110"/>
            </w:tcMar>
          </w:tcPr>
          <w:p>
            <w:pPr>
              <w:spacing w:after="0" w:line="248"/>
            </w:pPr>
            <w:r>
              <w:rPr>
                <w:b/>
                <w:bCs/>
              </w:rPr>
              <w:t xml:space="preserve">Méthode d'interprétation explicitée</w:t>
            </w:r>
          </w:p>
        </w:tc>
        <w:tc>
          <w:tcPr>
            <w:tcW w:type="dxa" w:w="4700"/>
            <w:shd w:fill="EAF0F6" w:color="auto" w:val="clear"/>
            <w:tcMar>
              <w:top w:type="dxa" w:w="60"/>
              <w:left w:type="dxa" w:w="110"/>
              <w:bottom w:type="dxa" w:w="60"/>
              <w:right w:type="dxa" w:w="110"/>
            </w:tcMar>
          </w:tcPr>
          <w:p>
            <w:pPr>
              <w:spacing w:after="0" w:line="248"/>
            </w:pPr>
            <w:r>
              <w:rPr>
                <w:b w:val="false"/>
                <w:bCs w:val="false"/>
              </w:rPr>
              <w:t xml:space="preserve">Téléologique, par analogie, a contrario</w:t>
            </w:r>
          </w:p>
        </w:tc>
      </w:tr>
      <w:tr>
        <w:tc>
          <w:tcPr>
            <w:tcW w:type="dxa" w:w="4300"/>
            <w:tcMar>
              <w:top w:type="dxa" w:w="60"/>
              <w:left w:type="dxa" w:w="110"/>
              <w:bottom w:type="dxa" w:w="60"/>
              <w:right w:type="dxa" w:w="110"/>
            </w:tcMar>
          </w:tcPr>
          <w:p>
            <w:pPr>
              <w:spacing w:after="0" w:line="248"/>
            </w:pPr>
            <w:r>
              <w:rPr>
                <w:b/>
                <w:bCs/>
              </w:rPr>
              <w:t xml:space="preserve">Discussion d'une solution alternative</w:t>
            </w:r>
          </w:p>
        </w:tc>
        <w:tc>
          <w:tcPr>
            <w:tcW w:type="dxa" w:w="4700"/>
            <w:tcMar>
              <w:top w:type="dxa" w:w="60"/>
              <w:left w:type="dxa" w:w="110"/>
              <w:bottom w:type="dxa" w:w="60"/>
              <w:right w:type="dxa" w:w="110"/>
            </w:tcMar>
          </w:tcPr>
          <w:p>
            <w:pPr>
              <w:spacing w:after="0" w:line="248"/>
            </w:pPr>
            <w:r>
              <w:rPr>
                <w:b w:val="false"/>
                <w:bCs w:val="false"/>
              </w:rPr>
              <w:t xml:space="preserve">Balancement « il pouvait être envisagé… tel n'est pas le cas »</w:t>
            </w:r>
          </w:p>
        </w:tc>
      </w:tr>
      <w:tr>
        <w:tc>
          <w:tcPr>
            <w:tcW w:type="dxa" w:w="4300"/>
            <w:shd w:fill="EAF0F6" w:color="auto" w:val="clear"/>
            <w:tcMar>
              <w:top w:type="dxa" w:w="60"/>
              <w:left w:type="dxa" w:w="110"/>
              <w:bottom w:type="dxa" w:w="60"/>
              <w:right w:type="dxa" w:w="110"/>
            </w:tcMar>
          </w:tcPr>
          <w:p>
            <w:pPr>
              <w:spacing w:after="0" w:line="248"/>
            </w:pPr>
            <w:r>
              <w:rPr>
                <w:b/>
                <w:bCs/>
              </w:rPr>
              <w:t xml:space="preserve">Citation de la doctrine (sans nom ni référence)</w:t>
            </w:r>
          </w:p>
        </w:tc>
        <w:tc>
          <w:tcPr>
            <w:tcW w:type="dxa" w:w="4700"/>
            <w:shd w:fill="EAF0F6" w:color="auto" w:val="clear"/>
            <w:tcMar>
              <w:top w:type="dxa" w:w="60"/>
              <w:left w:type="dxa" w:w="110"/>
              <w:bottom w:type="dxa" w:w="60"/>
              <w:right w:type="dxa" w:w="110"/>
            </w:tcMar>
          </w:tcPr>
          <w:p>
            <w:pPr>
              <w:spacing w:after="0" w:line="248"/>
            </w:pPr>
            <w:r>
              <w:rPr>
                <w:b w:val="false"/>
                <w:bCs w:val="false"/>
              </w:rPr>
              <w:t xml:space="preserve">« Ainsi qu'une partie de la doctrine a pu le relever… »</w:t>
            </w:r>
          </w:p>
        </w:tc>
      </w:tr>
      <w:tr>
        <w:tc>
          <w:tcPr>
            <w:tcW w:type="dxa" w:w="4300"/>
            <w:tcMar>
              <w:top w:type="dxa" w:w="60"/>
              <w:left w:type="dxa" w:w="110"/>
              <w:bottom w:type="dxa" w:w="60"/>
              <w:right w:type="dxa" w:w="110"/>
            </w:tcMar>
          </w:tcPr>
          <w:p>
            <w:pPr>
              <w:spacing w:after="0" w:line="248"/>
            </w:pPr>
            <w:r>
              <w:rPr>
                <w:b/>
                <w:bCs/>
              </w:rPr>
              <w:t xml:space="preserve">Citation de l'avis de l'avocat général</w:t>
            </w:r>
          </w:p>
        </w:tc>
        <w:tc>
          <w:tcPr>
            <w:tcW w:type="dxa" w:w="4700"/>
            <w:tcMar>
              <w:top w:type="dxa" w:w="60"/>
              <w:left w:type="dxa" w:w="110"/>
              <w:bottom w:type="dxa" w:w="60"/>
              <w:right w:type="dxa" w:w="110"/>
            </w:tcMar>
          </w:tcPr>
          <w:p>
            <w:pPr>
              <w:spacing w:after="0" w:line="248"/>
            </w:pPr>
            <w:r>
              <w:rPr>
                <w:b w:val="false"/>
                <w:bCs w:val="false"/>
              </w:rPr>
              <w:t xml:space="preserve">« L'avocat général conclut à… / est d'avis que… »</w:t>
            </w:r>
          </w:p>
        </w:tc>
      </w:tr>
      <w:tr>
        <w:tc>
          <w:tcPr>
            <w:tcW w:type="dxa" w:w="4300"/>
            <w:shd w:fill="EAF0F6" w:color="auto" w:val="clear"/>
            <w:tcMar>
              <w:top w:type="dxa" w:w="60"/>
              <w:left w:type="dxa" w:w="110"/>
              <w:bottom w:type="dxa" w:w="60"/>
              <w:right w:type="dxa" w:w="110"/>
            </w:tcMar>
          </w:tcPr>
          <w:p>
            <w:pPr>
              <w:spacing w:after="0" w:line="248"/>
            </w:pPr>
            <w:r>
              <w:rPr>
                <w:b/>
                <w:bCs/>
              </w:rPr>
              <w:t xml:space="preserve">Connecteurs articulant la majeure en plusieurs §</w:t>
            </w:r>
          </w:p>
        </w:tc>
        <w:tc>
          <w:tcPr>
            <w:tcW w:type="dxa" w:w="4700"/>
            <w:shd w:fill="EAF0F6" w:color="auto" w:val="clear"/>
            <w:tcMar>
              <w:top w:type="dxa" w:w="60"/>
              <w:left w:type="dxa" w:w="110"/>
              <w:bottom w:type="dxa" w:w="60"/>
              <w:right w:type="dxa" w:w="110"/>
            </w:tcMar>
          </w:tcPr>
          <w:p>
            <w:pPr>
              <w:spacing w:after="0" w:line="248"/>
            </w:pPr>
            <w:r>
              <w:rPr>
                <w:b w:val="false"/>
                <w:bCs w:val="false"/>
              </w:rPr>
              <w:t xml:space="preserve">« En premier lieu… en deuxième lieu… dès lors… »</w:t>
            </w:r>
          </w:p>
        </w:tc>
      </w:tr>
      <w:tr>
        <w:tc>
          <w:tcPr>
            <w:tcW w:type="dxa" w:w="4300"/>
            <w:tcMar>
              <w:top w:type="dxa" w:w="60"/>
              <w:left w:type="dxa" w:w="110"/>
              <w:bottom w:type="dxa" w:w="60"/>
              <w:right w:type="dxa" w:w="110"/>
            </w:tcMar>
          </w:tcPr>
          <w:p>
            <w:pPr>
              <w:spacing w:after="0" w:line="248"/>
            </w:pPr>
            <w:r>
              <w:rPr>
                <w:b/>
                <w:bCs/>
              </w:rPr>
              <w:t xml:space="preserve">Formule d'introduction du principe</w:t>
            </w:r>
          </w:p>
        </w:tc>
        <w:tc>
          <w:tcPr>
            <w:tcW w:type="dxa" w:w="4700"/>
            <w:tcMar>
              <w:top w:type="dxa" w:w="60"/>
              <w:left w:type="dxa" w:w="110"/>
              <w:bottom w:type="dxa" w:w="60"/>
              <w:right w:type="dxa" w:w="110"/>
            </w:tcMar>
          </w:tcPr>
          <w:p>
            <w:pPr>
              <w:spacing w:after="0" w:line="248"/>
            </w:pPr>
            <w:r>
              <w:rPr>
                <w:b w:val="false"/>
                <w:bCs w:val="false"/>
              </w:rPr>
              <w:t xml:space="preserve">« Il se déduit de l'ensemble de ces éléments que… »</w:t>
            </w:r>
          </w:p>
        </w:tc>
      </w:tr>
    </w:tbl>
    <w:p>
      <w:pPr>
        <w:spacing w:after="140" w:line="276"/>
      </w:pPr>
      <w:r>
        <w:rPr>
          <w:b w:val="false"/>
          <w:bCs w:val="false"/>
        </w:rPr>
        <w:t xml:space="preserve">Une règle absolue à connaître : la doctrine peut être évoquée, mais jamais sous le nom d'un auteur ni avec une référence d'article ou de chronique. Si vous lisez « une partie de la doctrine a pu relever que… », vous tenez un indice d'enrichissement.</w:t>
      </w:r>
    </w:p>
    <w:p>
      <w:pPr>
        <w:pStyle w:val="Heading2"/>
        <w:spacing w:after="120" w:before="240"/>
      </w:pPr>
      <w:r>
        <w:rPr>
          <w:b w:val="false"/>
          <w:bCs w:val="false"/>
        </w:rPr>
        <w:t xml:space="preserve">10.4. Comment elle est construite (les trames)</w:t>
      </w:r>
    </w:p>
    <w:p>
      <w:pPr>
        <w:spacing w:after="140" w:line="276"/>
      </w:pPr>
      <w:r>
        <w:rPr>
          <w:b w:val="false"/>
          <w:bCs w:val="false"/>
        </w:rPr>
        <w:t xml:space="preserve">Le guide propose des trames selon le type d'arrêt. Les connaître aide à suivre le raisonnement.</w:t>
      </w:r>
    </w:p>
    <w:p>
      <w:pPr>
        <w:pStyle w:val="ListParagraph"/>
        <w:numPr>
          <w:ilvl w:val="0"/>
          <w:numId w:val="2"/>
        </w:numPr>
        <w:spacing w:after="90" w:line="272"/>
      </w:pPr>
      <w:r>
        <w:rPr>
          <w:b/>
          <w:bCs/>
        </w:rPr>
        <w:t xml:space="preserve">Le revirement, en quatre temps :</w:t>
      </w:r>
      <w:r>
        <w:rPr>
          <w:b w:val="false"/>
          <w:bCs w:val="false"/>
        </w:rPr>
        <w:t xml:space="preserve"> rappel de la solution antérieure (« La Cour de cassation juge jusqu'à présent que… ») ; raisons du revirement, introduites par « Cependant » ou « Toutefois » ; énoncé du nouveau principe (« Il y a lieu de juger désormais que… »), le cas échéant avec son application dans le temps ; application au cas d'espèce (« En l'espèce… »).</w:t>
      </w:r>
    </w:p>
    <w:p>
      <w:pPr>
        <w:pStyle w:val="ListParagraph"/>
        <w:numPr>
          <w:ilvl w:val="0"/>
          <w:numId w:val="2"/>
        </w:numPr>
        <w:spacing w:after="90" w:line="272"/>
      </w:pPr>
      <w:r>
        <w:rPr>
          <w:b/>
          <w:bCs/>
        </w:rPr>
        <w:t xml:space="preserve">La question de principe, en quatre temps :</w:t>
      </w:r>
      <w:r>
        <w:rPr>
          <w:b w:val="false"/>
          <w:bCs w:val="false"/>
        </w:rPr>
        <w:t xml:space="preserve"> exposé de la question de droit ; éléments permettant d'y répondre (textes, jurisprudence, travaux parlementaires, avis de l'avocat général) ; énoncé du principe ; application au cas d'espèce.</w:t>
      </w:r>
    </w:p>
    <w:p>
      <w:pPr>
        <w:pStyle w:val="ListParagraph"/>
        <w:numPr>
          <w:ilvl w:val="0"/>
          <w:numId w:val="2"/>
        </w:numPr>
        <w:spacing w:after="90" w:line="272"/>
      </w:pPr>
      <w:r>
        <w:rPr>
          <w:b/>
          <w:bCs/>
        </w:rPr>
        <w:t xml:space="preserve">Le contrôle de proportionnalité, en cinq étapes :</w:t>
      </w:r>
      <w:r>
        <w:rPr>
          <w:b w:val="false"/>
          <w:bCs w:val="false"/>
        </w:rPr>
        <w:t xml:space="preserve"> applicabilité du droit invoqué ; ingérence dans son exercice ; base légale de l'ingérence ; légitimité du but poursuivi ; contrôle de proportionnalité proprement dit.</w:t>
      </w:r>
    </w:p>
    <w:p>
      <w:pPr>
        <w:spacing w:after="140" w:line="276"/>
      </w:pPr>
      <w:r>
        <w:rPr>
          <w:b w:val="false"/>
          <w:bCs w:val="false"/>
        </w:rPr>
        <w:t xml:space="preserve">D'autres trames existent (demande d'avis, QPC, renvoi au Tribunal des conflits), mais elles suivent la même logique : poser la question, réunir les éléments, énoncer la règle, appliquer.</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Les formules qui trahissent une motivation enrichie</w:t>
            </w:r>
          </w:p>
          <w:p>
            <w:pPr>
              <w:spacing w:after="60" w:line="264"/>
            </w:pPr>
            <w:r>
              <w:rPr>
                <w:b w:val="false"/>
                <w:bCs w:val="false"/>
                <w:i/>
                <w:iCs/>
                <w:color w:val="2B2B2B"/>
                <w:sz w:val="20"/>
                <w:szCs w:val="20"/>
              </w:rPr>
              <w:t xml:space="preserve">« Le moyen pose la question de savoir si… »</w:t>
            </w:r>
          </w:p>
          <w:p>
            <w:pPr>
              <w:spacing w:after="60" w:line="264"/>
            </w:pPr>
            <w:r>
              <w:rPr>
                <w:b w:val="false"/>
                <w:bCs w:val="false"/>
                <w:i/>
                <w:iCs/>
                <w:color w:val="2B2B2B"/>
                <w:sz w:val="20"/>
                <w:szCs w:val="20"/>
              </w:rPr>
              <w:t xml:space="preserve">« Une interprétation téléologique du texte aboutit à considérer que… »</w:t>
            </w:r>
          </w:p>
          <w:p>
            <w:pPr>
              <w:spacing w:after="60" w:line="264"/>
            </w:pPr>
            <w:r>
              <w:rPr>
                <w:b w:val="false"/>
                <w:bCs w:val="false"/>
                <w:i/>
                <w:iCs/>
                <w:color w:val="2B2B2B"/>
                <w:sz w:val="20"/>
                <w:szCs w:val="20"/>
              </w:rPr>
              <w:t xml:space="preserve">« Il résulte des débats parlementaires ayant précédé l'adoption de la loi… »</w:t>
            </w:r>
          </w:p>
          <w:p>
            <w:pPr>
              <w:spacing w:after="60" w:line="264"/>
            </w:pPr>
            <w:r>
              <w:rPr>
                <w:b w:val="false"/>
                <w:bCs w:val="false"/>
                <w:i/>
                <w:iCs/>
                <w:color w:val="2B2B2B"/>
                <w:sz w:val="20"/>
                <w:szCs w:val="20"/>
              </w:rPr>
              <w:t xml:space="preserve">« L'avocat général conclut à… / est d'avis que… »</w:t>
            </w:r>
          </w:p>
          <w:p>
            <w:pPr>
              <w:spacing w:after="60" w:line="264"/>
            </w:pPr>
            <w:r>
              <w:rPr>
                <w:b w:val="false"/>
                <w:bCs w:val="false"/>
                <w:i/>
                <w:iCs/>
                <w:color w:val="2B2B2B"/>
                <w:sz w:val="20"/>
                <w:szCs w:val="20"/>
              </w:rPr>
              <w:t xml:space="preserve">« Il se déduit de l'ensemble de ces éléments que… »</w:t>
            </w:r>
          </w:p>
          <w:p>
            <w:pPr>
              <w:spacing w:after="80"/>
            </w:pPr>
            <w:r>
              <w:rPr>
                <w:color w:val="6A6A6A"/>
                <w:sz w:val="16"/>
                <w:szCs w:val="16"/>
              </w:rPr>
              <w:t xml:space="preserve">Guide de rédaction en motivation enrichie, Cour de cassation, septembre 2023</w:t>
            </w:r>
          </w:p>
          <w:p>
            <w:pPr>
              <w:spacing w:after="0" w:line="264"/>
            </w:pPr>
            <w:r>
              <w:rPr>
                <w:b/>
                <w:bCs/>
                <w:color w:val="2E4C6E"/>
                <w:sz w:val="20"/>
                <w:szCs w:val="20"/>
              </w:rPr>
              <w:t xml:space="preserve">À lire ainsi : </w:t>
            </w:r>
            <w:r>
              <w:rPr>
                <w:b w:val="false"/>
                <w:bCs w:val="false"/>
                <w:sz w:val="20"/>
                <w:szCs w:val="20"/>
              </w:rPr>
              <w:t xml:space="preserve">ces formules ne sont pas décoratives : chacune ouvre un maillon du raisonnement. Leur présence, surtout combinée, marque un arrêt que la Cour a voulu important et pédagogique. Traitez-le comme un signal de portée forte.</w:t>
            </w:r>
          </w:p>
        </w:tc>
      </w:tr>
    </w:tbl>
    <w:p>
      <w:pPr>
        <w:pStyle w:val="Heading1"/>
        <w:spacing w:after="160" w:before="340"/>
      </w:pPr>
      <w:r>
        <w:rPr>
          <w:b w:val="false"/>
          <w:bCs w:val="false"/>
        </w:rPr>
        <w:t xml:space="preserve">11. Mesurer la portée de la cassation</w:t>
      </w:r>
    </w:p>
    <w:p>
      <w:pPr>
        <w:spacing w:after="140" w:line="276"/>
      </w:pPr>
      <w:r>
        <w:rPr>
          <w:b w:val="false"/>
          <w:bCs w:val="false"/>
        </w:rPr>
        <w:t xml:space="preserve">Une </w:t>
      </w:r>
      <w:r>
        <w:rPr>
          <w:b/>
          <w:bCs/>
        </w:rPr>
        <w:t xml:space="preserve">cassation totale</w:t>
      </w:r>
      <w:r>
        <w:rPr>
          <w:b w:val="false"/>
          <w:bCs w:val="false"/>
        </w:rPr>
        <w:t xml:space="preserve"> (« en toutes ses dispositions ») rouvre l'entier litige devant la cour de renvoi, comme si l'arrêt cassé n'avait jamais existé ; même les chefs sur lesquels un moyen avait été rejeté redeviennent ouverts. Une </w:t>
      </w:r>
      <w:r>
        <w:rPr>
          <w:b/>
          <w:bCs/>
        </w:rPr>
        <w:t xml:space="preserve">cassation partielle</w:t>
      </w:r>
      <w:r>
        <w:rPr>
          <w:b w:val="false"/>
          <w:bCs w:val="false"/>
        </w:rPr>
        <w:t xml:space="preserve"> (« casse, sauf en ce qu'il a… ») ne touche que les chefs visés ; les autres deviennent irrévocables, sauf indivisibilité ou dépendance nécessaire (article 624). Une </w:t>
      </w:r>
      <w:r>
        <w:rPr>
          <w:b/>
          <w:bCs/>
        </w:rPr>
        <w:t xml:space="preserve">cassation sans renvoi</w:t>
      </w:r>
      <w:r>
        <w:rPr>
          <w:b w:val="false"/>
          <w:bCs w:val="false"/>
        </w:rPr>
        <w:t xml:space="preserve"> signifie que la Cour tranche elle-même (article L. 411-3). Si la portée paraît ambiguë, revenez au dispositif de l'arrêt attaqué et rapprochez-le du grief et du moyen qui fondent la cassation.</w:t>
      </w:r>
    </w:p>
    <w:p>
      <w:pPr>
        <w:pStyle w:val="Heading1"/>
        <w:spacing w:after="160" w:before="340"/>
      </w:pPr>
      <w:r>
        <w:rPr>
          <w:b w:val="false"/>
          <w:bCs w:val="false"/>
        </w:rPr>
        <w:t xml:space="preserve">12. La méthode, pas à pas</w:t>
      </w:r>
    </w:p>
    <w:p>
      <w:pPr>
        <w:pStyle w:val="ListParagraph"/>
        <w:numPr>
          <w:ilvl w:val="0"/>
          <w:numId w:val="4"/>
        </w:numPr>
        <w:spacing w:after="120" w:line="272"/>
      </w:pPr>
      <w:r>
        <w:rPr>
          <w:b/>
          <w:bCs/>
        </w:rPr>
        <w:t xml:space="preserve">Signalétique.</w:t>
      </w:r>
      <w:r>
        <w:rPr>
          <w:b w:val="false"/>
          <w:bCs w:val="false"/>
        </w:rPr>
        <w:t xml:space="preserve"> Chambre, date, numéro de pourvoi. Formation (comptez les noms). Publication (B, R, ou rien). Nature (rejet, cassation totale ou partielle, avec ou sans renvoi, non-admission).</w:t>
      </w:r>
    </w:p>
    <w:p>
      <w:pPr>
        <w:pStyle w:val="ListParagraph"/>
        <w:numPr>
          <w:ilvl w:val="0"/>
          <w:numId w:val="4"/>
        </w:numPr>
        <w:spacing w:after="120" w:line="272"/>
      </w:pPr>
      <w:r>
        <w:rPr>
          <w:b/>
          <w:bCs/>
        </w:rPr>
        <w:t xml:space="preserve">Faits et procédure.</w:t>
      </w:r>
      <w:r>
        <w:rPr>
          <w:b w:val="false"/>
          <w:bCs w:val="false"/>
        </w:rPr>
        <w:t xml:space="preserve"> Faits du litige, parcours procédural, reproche fait à la décision attaquée. Êtes-vous après un premier renvoi ?</w:t>
      </w:r>
    </w:p>
    <w:p>
      <w:pPr>
        <w:pStyle w:val="ListParagraph"/>
        <w:numPr>
          <w:ilvl w:val="0"/>
          <w:numId w:val="4"/>
        </w:numPr>
        <w:spacing w:after="120" w:line="272"/>
      </w:pPr>
      <w:r>
        <w:rPr>
          <w:b/>
          <w:bCs/>
        </w:rPr>
        <w:t xml:space="preserve">Moyens et griefs.</w:t>
      </w:r>
      <w:r>
        <w:rPr>
          <w:b w:val="false"/>
          <w:bCs w:val="false"/>
        </w:rPr>
        <w:t xml:space="preserve"> Quel chef est attaqué ? Sur quel cas d'ouverture ? Lisez la réponse, jamais le moyen à sa place.</w:t>
      </w:r>
    </w:p>
    <w:p>
      <w:pPr>
        <w:pStyle w:val="ListParagraph"/>
        <w:numPr>
          <w:ilvl w:val="0"/>
          <w:numId w:val="4"/>
        </w:numPr>
        <w:spacing w:after="120" w:line="272"/>
      </w:pPr>
      <w:r>
        <w:rPr>
          <w:b/>
          <w:bCs/>
        </w:rPr>
        <w:t xml:space="preserve">Structure.</w:t>
      </w:r>
      <w:r>
        <w:rPr>
          <w:b w:val="false"/>
          <w:bCs w:val="false"/>
        </w:rPr>
        <w:t xml:space="preserve"> En cassation : visa, chapeau, mineure, conclusif. Le chapeau interprète-t-il ou recopie-t-il ? En rejet : cherchez un chapeau intérieur.</w:t>
      </w:r>
    </w:p>
    <w:p>
      <w:pPr>
        <w:pStyle w:val="ListParagraph"/>
        <w:numPr>
          <w:ilvl w:val="0"/>
          <w:numId w:val="4"/>
        </w:numPr>
        <w:spacing w:after="120" w:line="272"/>
      </w:pPr>
      <w:r>
        <w:rPr>
          <w:b/>
          <w:bCs/>
        </w:rPr>
        <w:t xml:space="preserve">Nature du contrôle.</w:t>
      </w:r>
      <w:r>
        <w:rPr>
          <w:b w:val="false"/>
          <w:bCs w:val="false"/>
        </w:rPr>
        <w:t xml:space="preserve"> L'étape décisive. « a pu » ne fixe rien ; « à bon droit » fixe la règle.</w:t>
      </w:r>
    </w:p>
    <w:p>
      <w:pPr>
        <w:pStyle w:val="ListParagraph"/>
        <w:numPr>
          <w:ilvl w:val="0"/>
          <w:numId w:val="4"/>
        </w:numPr>
        <w:spacing w:after="120" w:line="272"/>
      </w:pPr>
      <w:r>
        <w:rPr>
          <w:b/>
          <w:bCs/>
        </w:rPr>
        <w:t xml:space="preserve">Si manque de base légale.</w:t>
      </w:r>
      <w:r>
        <w:rPr>
          <w:b w:val="false"/>
          <w:bCs w:val="false"/>
        </w:rPr>
        <w:t xml:space="preserve"> Ce n'est pas la solution qui est condamnée, mais la motivation qui est incomplète. La cour de renvoi pourra reprendre la même solution.</w:t>
      </w:r>
    </w:p>
    <w:p>
      <w:pPr>
        <w:pStyle w:val="ListParagraph"/>
        <w:numPr>
          <w:ilvl w:val="0"/>
          <w:numId w:val="4"/>
        </w:numPr>
        <w:spacing w:after="120" w:line="272"/>
      </w:pPr>
      <w:r>
        <w:rPr>
          <w:b/>
          <w:bCs/>
        </w:rPr>
        <w:t xml:space="preserve">Poids institutionnel.</w:t>
      </w:r>
      <w:r>
        <w:rPr>
          <w:b w:val="false"/>
          <w:bCs w:val="false"/>
        </w:rPr>
        <w:t xml:space="preserve"> Formation solennelle, section ou restreinte ? Chambre spécialisée ? Consultation d'une autre chambre ? Avis de l'avocat général ?</w:t>
      </w:r>
    </w:p>
    <w:p>
      <w:pPr>
        <w:pStyle w:val="ListParagraph"/>
        <w:numPr>
          <w:ilvl w:val="0"/>
          <w:numId w:val="4"/>
        </w:numPr>
        <w:spacing w:after="120" w:line="272"/>
      </w:pPr>
      <w:r>
        <w:rPr>
          <w:b/>
          <w:bCs/>
        </w:rPr>
        <w:t xml:space="preserve">Situations atypiques.</w:t>
      </w:r>
      <w:r>
        <w:rPr>
          <w:b w:val="false"/>
          <w:bCs w:val="false"/>
        </w:rPr>
        <w:t xml:space="preserve"> Moyen relevé d'office, substitution de motifs, pourvoi dans l'intérêt de la loi, cassation sans renvoi, question préjudicielle, demande d'avis : chacune modifie la portée.</w:t>
      </w:r>
    </w:p>
    <w:p>
      <w:pPr>
        <w:pStyle w:val="ListParagraph"/>
        <w:numPr>
          <w:ilvl w:val="0"/>
          <w:numId w:val="4"/>
        </w:numPr>
        <w:spacing w:after="120" w:line="272"/>
      </w:pPr>
      <w:r>
        <w:rPr>
          <w:b/>
          <w:bCs/>
        </w:rPr>
        <w:t xml:space="preserve">Synthèse : quel poids ?</w:t>
      </w:r>
      <w:r>
        <w:rPr>
          <w:b w:val="false"/>
          <w:bCs w:val="false"/>
        </w:rPr>
        <w:t xml:space="preserve"> Arrêt de principe, précision des conditions d'un texte, discipline sans changement de règle, arrêt d'espèce sans portée, ou revirement (avec quelle application dans le temps) ?</w:t>
      </w:r>
    </w:p>
    <w:p>
      <w:pPr>
        <w:pStyle w:val="Heading1"/>
        <w:spacing w:after="160" w:before="340"/>
      </w:pPr>
      <w:r>
        <w:rPr>
          <w:b w:val="false"/>
          <w:bCs w:val="false"/>
        </w:rPr>
        <w:t xml:space="preserve">13. Les erreurs classiques à ne pas commettre</w:t>
      </w:r>
    </w:p>
    <w:p>
      <w:pPr>
        <w:pStyle w:val="ListParagraph"/>
        <w:numPr>
          <w:ilvl w:val="0"/>
          <w:numId w:val="2"/>
        </w:numPr>
        <w:spacing w:after="90" w:line="272"/>
      </w:pPr>
      <w:r>
        <w:rPr>
          <w:b/>
          <w:bCs/>
        </w:rPr>
        <w:t xml:space="preserve">Lire le moyen au lieu de la réponse.</w:t>
      </w:r>
      <w:r>
        <w:rPr>
          <w:b w:val="false"/>
          <w:bCs w:val="false"/>
        </w:rPr>
        <w:t xml:space="preserve"> Le moyen est l'argument du perdant.</w:t>
      </w:r>
    </w:p>
    <w:p>
      <w:pPr>
        <w:pStyle w:val="ListParagraph"/>
        <w:numPr>
          <w:ilvl w:val="0"/>
          <w:numId w:val="2"/>
        </w:numPr>
        <w:spacing w:after="90" w:line="272"/>
      </w:pPr>
      <w:r>
        <w:rPr>
          <w:b/>
          <w:bCs/>
        </w:rPr>
        <w:t xml:space="preserve">Prendre un rejet pour une approbation générale.</w:t>
      </w:r>
      <w:r>
        <w:rPr>
          <w:b w:val="false"/>
          <w:bCs w:val="false"/>
        </w:rPr>
        <w:t xml:space="preserve"> La Cour n'a jugé que les chefs attaqués.</w:t>
      </w:r>
    </w:p>
    <w:p>
      <w:pPr>
        <w:pStyle w:val="ListParagraph"/>
        <w:numPr>
          <w:ilvl w:val="0"/>
          <w:numId w:val="2"/>
        </w:numPr>
        <w:spacing w:after="90" w:line="272"/>
      </w:pPr>
      <w:r>
        <w:rPr>
          <w:b/>
          <w:bCs/>
        </w:rPr>
        <w:t xml:space="preserve">Ériger en arrêt de principe un arrêt non publié</w:t>
      </w:r>
      <w:r>
        <w:rPr>
          <w:b w:val="false"/>
          <w:bCs w:val="false"/>
        </w:rPr>
        <w:t xml:space="preserve">, en formation restreinte, sous contrôle léger.</w:t>
      </w:r>
    </w:p>
    <w:p>
      <w:pPr>
        <w:pStyle w:val="ListParagraph"/>
        <w:numPr>
          <w:ilvl w:val="0"/>
          <w:numId w:val="2"/>
        </w:numPr>
        <w:spacing w:after="90" w:line="272"/>
      </w:pPr>
      <w:r>
        <w:rPr>
          <w:b/>
          <w:bCs/>
        </w:rPr>
        <w:t xml:space="preserve">Surinterpréter un « a pu ».</w:t>
      </w:r>
      <w:r>
        <w:rPr>
          <w:b w:val="false"/>
          <w:bCs w:val="false"/>
        </w:rPr>
        <w:t xml:space="preserve"> La solution était compatible, pas obligatoire.</w:t>
      </w:r>
    </w:p>
    <w:p>
      <w:pPr>
        <w:pStyle w:val="ListParagraph"/>
        <w:numPr>
          <w:ilvl w:val="0"/>
          <w:numId w:val="2"/>
        </w:numPr>
        <w:spacing w:after="90" w:line="272"/>
      </w:pPr>
      <w:r>
        <w:rPr>
          <w:b/>
          <w:bCs/>
        </w:rPr>
        <w:t xml:space="preserve">Lire une cassation pour manque de base légale comme une condamnation de la solution.</w:t>
      </w:r>
      <w:r>
        <w:rPr>
          <w:b w:val="false"/>
          <w:bCs w:val="false"/>
        </w:rPr>
        <w:t xml:space="preserve"> Elle ne condamne qu'une lacune de motivation.</w:t>
      </w:r>
    </w:p>
    <w:p>
      <w:pPr>
        <w:pStyle w:val="ListParagraph"/>
        <w:numPr>
          <w:ilvl w:val="0"/>
          <w:numId w:val="2"/>
        </w:numPr>
        <w:spacing w:after="90" w:line="272"/>
      </w:pPr>
      <w:r>
        <w:rPr>
          <w:b/>
          <w:bCs/>
        </w:rPr>
        <w:t xml:space="preserve">Confondre la forme et la portée.</w:t>
      </w:r>
      <w:r>
        <w:rPr>
          <w:b w:val="false"/>
          <w:bCs w:val="false"/>
        </w:rPr>
        <w:t xml:space="preserve"> Un rejet par substitution de motifs peut faire doctrine ; une cassation pour manque de base légale peut n'avoir aucune portée sur le fond.</w:t>
      </w:r>
    </w:p>
    <w:p>
      <w:pPr>
        <w:pStyle w:val="ListParagraph"/>
        <w:numPr>
          <w:ilvl w:val="0"/>
          <w:numId w:val="2"/>
        </w:numPr>
        <w:spacing w:after="90" w:line="272"/>
      </w:pPr>
      <w:r>
        <w:rPr>
          <w:b/>
          <w:bCs/>
        </w:rPr>
        <w:t xml:space="preserve">Ignorer la formation et la chambre.</w:t>
      </w:r>
      <w:r>
        <w:rPr>
          <w:b w:val="false"/>
          <w:bCs w:val="false"/>
        </w:rPr>
        <w:t xml:space="preserve"> L'en-tête et le bloc de signatures pèsent autant que les motifs.</w:t>
      </w:r>
    </w:p>
    <w:p>
      <w:pPr>
        <w:pStyle w:val="Heading1"/>
        <w:spacing w:after="160" w:before="340"/>
      </w:pPr>
      <w:r>
        <w:rPr>
          <w:b w:val="false"/>
          <w:bCs w:val="false"/>
        </w:rPr>
        <w:t xml:space="preserve">14. Deux arrêts analysés de bout en bout</w:t>
      </w:r>
    </w:p>
    <w:p>
      <w:pPr>
        <w:spacing w:after="140" w:line="276"/>
      </w:pPr>
      <w:r>
        <w:rPr>
          <w:b w:val="false"/>
          <w:bCs w:val="false"/>
        </w:rPr>
        <w:t xml:space="preserve">La méthode appliquée. Les deux arrêts portent sur le même sujet (la prestation compensatoire) et le même visa (articles 270 et 271 du code civil), mais l'un casse pour violation de la loi et l'autre pour manque de base légale. Le rapprochement montre pourquoi le cas d'ouverture change tout.</w:t>
      </w:r>
    </w:p>
    <w:p>
      <w:pPr>
        <w:pStyle w:val="Heading2"/>
        <w:spacing w:after="120" w:before="240"/>
      </w:pPr>
      <w:r>
        <w:rPr>
          <w:b w:val="false"/>
          <w:bCs w:val="false"/>
        </w:rPr>
        <w:t xml:space="preserve">14.1. Une cassation pour violation de la loi</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L'arrêt</w:t>
            </w:r>
          </w:p>
          <w:p>
            <w:pPr>
              <w:spacing w:after="60" w:line="264"/>
            </w:pPr>
            <w:r>
              <w:rPr>
                <w:b w:val="false"/>
                <w:bCs w:val="false"/>
                <w:i/>
                <w:iCs/>
                <w:color w:val="2B2B2B"/>
                <w:sz w:val="20"/>
                <w:szCs w:val="20"/>
              </w:rPr>
              <w:t xml:space="preserve">Visa : articles 270 et 271 du code civil.</w:t>
            </w:r>
          </w:p>
          <w:p>
            <w:pPr>
              <w:spacing w:after="60" w:line="264"/>
            </w:pPr>
            <w:r>
              <w:rPr>
                <w:b w:val="false"/>
                <w:bCs w:val="false"/>
                <w:i/>
                <w:iCs/>
                <w:color w:val="2B2B2B"/>
                <w:sz w:val="20"/>
                <w:szCs w:val="20"/>
              </w:rPr>
              <w:t xml:space="preserve">Chapeau : « Il résulte du premier de ces textes que l'un des époux peut être tenu de verser à l'autre une prestation destinée à compenser […] la disparité que la rupture du mariage crée dans les conditions de vie respectives […]. »</w:t>
            </w:r>
          </w:p>
          <w:p>
            <w:pPr>
              <w:spacing w:after="60" w:line="264"/>
            </w:pPr>
            <w:r>
              <w:rPr>
                <w:b w:val="false"/>
                <w:bCs w:val="false"/>
                <w:i/>
                <w:iCs/>
                <w:color w:val="2B2B2B"/>
                <w:sz w:val="20"/>
                <w:szCs w:val="20"/>
              </w:rPr>
              <w:t xml:space="preserve">Mineure : « Pour rejeter la demande de prestation compensatoire, l'arrêt retient que […] l'accident de santé à l'origine de son invalidité est antérieur au mariage […]. »</w:t>
            </w:r>
          </w:p>
          <w:p>
            <w:pPr>
              <w:spacing w:after="60" w:line="264"/>
            </w:pPr>
            <w:r>
              <w:rPr>
                <w:b w:val="false"/>
                <w:bCs w:val="false"/>
                <w:i/>
                <w:iCs/>
                <w:color w:val="2B2B2B"/>
                <w:sz w:val="20"/>
                <w:szCs w:val="20"/>
              </w:rPr>
              <w:t xml:space="preserve">Conclusif : « En statuant ainsi, la cour d'appel qui […] a ajouté une condition non prévue par la loi, a violé les textes susvisés. »</w:t>
            </w:r>
          </w:p>
          <w:p>
            <w:pPr>
              <w:spacing w:after="0"/>
            </w:pPr>
            <w:r>
              <w:rPr>
                <w:color w:val="6A6A6A"/>
                <w:sz w:val="16"/>
                <w:szCs w:val="16"/>
              </w:rPr>
              <w:t xml:space="preserve">1re Civ., 3 mars 2021, n° 19-24.717 (non publié)</w:t>
            </w:r>
          </w:p>
        </w:tc>
      </w:tr>
    </w:tbl>
    <w:p>
      <w:pPr>
        <w:spacing w:after="140" w:line="276"/>
      </w:pPr>
      <w:r>
        <w:rPr>
          <w:b/>
          <w:bCs/>
        </w:rPr>
        <w:t xml:space="preserve">Cas d'ouverture et contrôle.</w:t>
      </w:r>
      <w:r>
        <w:rPr>
          <w:b w:val="false"/>
          <w:bCs w:val="false"/>
        </w:rPr>
        <w:t xml:space="preserve"> « En statuant ainsi… a violé » : </w:t>
      </w:r>
      <w:r>
        <w:rPr>
          <w:b/>
          <w:bCs/>
        </w:rPr>
        <w:t xml:space="preserve">violation de la loi</w:t>
      </w:r>
      <w:r>
        <w:rPr>
          <w:b w:val="false"/>
          <w:bCs w:val="false"/>
        </w:rPr>
        <w:t xml:space="preserve">, le contrôle normatif le plus net. La cour d'appel a ajouté à la loi une condition qu'elle ne pose pas. La Cour dit le droit : le droit à prestation compensatoire ne se subordonne pas à des circonstances antérieures au divorce.</w:t>
      </w:r>
    </w:p>
    <w:p>
      <w:pPr>
        <w:spacing w:after="140" w:line="276"/>
      </w:pPr>
      <w:r>
        <w:rPr>
          <w:b/>
          <w:bCs/>
        </w:rPr>
        <w:t xml:space="preserve">Poids.</w:t>
      </w:r>
      <w:r>
        <w:rPr>
          <w:b w:val="false"/>
          <w:bCs w:val="false"/>
        </w:rPr>
        <w:t xml:space="preserve"> Sur le principe, l'arrêt est ferme. Mais « non publié » tempère la portée doctrinale : la Cour applique une règle acquise plutôt qu'elle n'en crée une. Retenez la règle, sans en faire un grand arrêt de principe.</w:t>
      </w:r>
    </w:p>
    <w:p>
      <w:pPr>
        <w:pStyle w:val="Heading2"/>
        <w:spacing w:after="120" w:before="240"/>
      </w:pPr>
      <w:r>
        <w:rPr>
          <w:b w:val="false"/>
          <w:bCs w:val="false"/>
        </w:rPr>
        <w:t xml:space="preserve">14.2. Une cassation pour manque de base légale</w:t>
      </w:r>
    </w:p>
    <w:tbl>
      <w:tblPr>
        <w:tblW w:type="dxa" w:w="9100"/>
        <w:tblBorders>
          <w:top w:val="none"/>
          <w:left w:val="none"/>
          <w:bottom w:val="none"/>
          <w:right w:val="none"/>
          <w:insideH w:val="none"/>
          <w:insideV w:val="none"/>
        </w:tblBorders>
      </w:tblPr>
      <w:tblGrid>
        <w:gridCol w:w="9100"/>
      </w:tblGrid>
      <w:tr>
        <w:tc>
          <w:tcPr>
            <w:tcW w:type="dxa" w:w="9100"/>
            <w:tcBorders>
              <w:top w:val="single" w:color="F4F7FB" w:sz="2"/>
              <w:left w:val="single" w:color="1F3A5F" w:sz="22"/>
              <w:bottom w:val="single" w:color="F4F7FB" w:sz="2"/>
              <w:right w:val="single" w:color="F4F7FB" w:sz="2"/>
            </w:tcBorders>
            <w:shd w:fill="F4F7FB" w:color="auto" w:val="clear"/>
            <w:tcMar>
              <w:top w:type="dxa" w:w="120"/>
              <w:left w:type="dxa" w:w="170"/>
              <w:bottom w:type="dxa" w:w="120"/>
              <w:right w:type="dxa" w:w="150"/>
            </w:tcMar>
          </w:tcPr>
          <w:p>
            <w:pPr>
              <w:spacing w:after="70"/>
            </w:pPr>
            <w:r>
              <w:rPr>
                <w:b/>
                <w:bCs/>
                <w:caps/>
                <w:color w:val="1F3A5F"/>
                <w:sz w:val="17"/>
                <w:szCs w:val="17"/>
              </w:rPr>
              <w:t xml:space="preserve">L'arrêt</w:t>
            </w:r>
          </w:p>
          <w:p>
            <w:pPr>
              <w:spacing w:after="60" w:line="264"/>
            </w:pPr>
            <w:r>
              <w:rPr>
                <w:b w:val="false"/>
                <w:bCs w:val="false"/>
                <w:i/>
                <w:iCs/>
                <w:color w:val="2B2B2B"/>
                <w:sz w:val="20"/>
                <w:szCs w:val="20"/>
              </w:rPr>
              <w:t xml:space="preserve">Visa : articles 270 et 271 du code civil (le même que précédemment).</w:t>
            </w:r>
          </w:p>
          <w:p>
            <w:pPr>
              <w:spacing w:after="60" w:line="264"/>
            </w:pPr>
            <w:r>
              <w:rPr>
                <w:b w:val="false"/>
                <w:bCs w:val="false"/>
                <w:i/>
                <w:iCs/>
                <w:color w:val="2B2B2B"/>
                <w:sz w:val="20"/>
                <w:szCs w:val="20"/>
              </w:rPr>
              <w:t xml:space="preserve">Mineure : « Pour fixer le montant de la prestation compensatoire […], l'arrêt retient notamment les prestations sociales versées à l'épouse. »</w:t>
            </w:r>
          </w:p>
          <w:p>
            <w:pPr>
              <w:spacing w:after="60" w:line="264"/>
            </w:pPr>
            <w:r>
              <w:rPr>
                <w:b w:val="false"/>
                <w:bCs w:val="false"/>
                <w:i/>
                <w:iCs/>
                <w:color w:val="2B2B2B"/>
                <w:sz w:val="20"/>
                <w:szCs w:val="20"/>
              </w:rPr>
              <w:t xml:space="preserve">Conclusif : « En se déterminant ainsi, sans rechercher […] si les prestations en cause […] n'étaient pas destinées à l'entretien des enfants […], la cour d'appel n'a pas donné de base légale à sa décision. »</w:t>
            </w:r>
          </w:p>
          <w:p>
            <w:pPr>
              <w:spacing w:after="0"/>
            </w:pPr>
            <w:r>
              <w:rPr>
                <w:color w:val="6A6A6A"/>
                <w:sz w:val="16"/>
                <w:szCs w:val="16"/>
              </w:rPr>
              <w:t xml:space="preserve">1re Civ., 2 septembre 2020, n° 19-16.538 (non publié)</w:t>
            </w:r>
          </w:p>
        </w:tc>
      </w:tr>
    </w:tbl>
    <w:p>
      <w:pPr>
        <w:spacing w:after="140" w:line="276"/>
      </w:pPr>
      <w:r>
        <w:rPr>
          <w:b/>
          <w:bCs/>
        </w:rPr>
        <w:t xml:space="preserve">Cas d'ouverture et contrôle.</w:t>
      </w:r>
      <w:r>
        <w:rPr>
          <w:b w:val="false"/>
          <w:bCs w:val="false"/>
        </w:rPr>
        <w:t xml:space="preserve"> « En se déterminant ainsi, sans rechercher… n'a pas donné de base légale » : </w:t>
      </w:r>
      <w:r>
        <w:rPr>
          <w:b/>
          <w:bCs/>
        </w:rPr>
        <w:t xml:space="preserve">manque de base légale</w:t>
      </w:r>
      <w:r>
        <w:rPr>
          <w:b w:val="false"/>
          <w:bCs w:val="false"/>
        </w:rPr>
        <w:t xml:space="preserve">. Même chambre, même visa. La différence est décisive : ici, la cour d'appel n'a pas commis d'erreur de règle, elle a omis de vérifier un élément de fait.</w:t>
      </w:r>
    </w:p>
    <w:p>
      <w:pPr>
        <w:spacing w:after="140" w:line="276"/>
      </w:pPr>
      <w:r>
        <w:rPr>
          <w:b/>
          <w:bCs/>
        </w:rPr>
        <w:t xml:space="preserve">Poids.</w:t>
      </w:r>
      <w:r>
        <w:rPr>
          <w:b w:val="false"/>
          <w:bCs w:val="false"/>
        </w:rPr>
        <w:t xml:space="preserve"> Faible sur le fond. La cour de renvoi pourra fixer le même montant, à condition de rechercher si ces prestations étaient destinées aux enfants. Aucune rébellion possible.</w:t>
      </w:r>
    </w:p>
    <w:p>
      <w:pPr>
        <w:spacing w:after="140" w:line="276"/>
      </w:pPr>
      <w:r>
        <w:rPr>
          <w:b/>
          <w:bCs/>
        </w:rPr>
        <w:t xml:space="preserve">La leçon du rapprochement.</w:t>
      </w:r>
      <w:r>
        <w:rPr>
          <w:b w:val="false"/>
          <w:bCs w:val="false"/>
        </w:rPr>
        <w:t xml:space="preserve"> Deux arrêts, même chambre, même visa, même matière. L'un ajoute une condition à la loi (violation de la loi, la solution est condamnée). L'autre oublie de vérifier un fait (manque de base légale, la solution peut être reprise). C'est le conclusif, et lui seul, qui vous dit lequel des deux vous lisez : « en statuant ainsi » contre « en se déterminant ainsi ».</w:t>
      </w:r>
    </w:p>
    <w:p>
      <w:pPr>
        <w:pStyle w:val="Heading1"/>
        <w:spacing w:after="160" w:before="340"/>
      </w:pPr>
      <w:r>
        <w:rPr>
          <w:b w:val="false"/>
          <w:bCs w:val="false"/>
        </w:rPr>
        <w:t xml:space="preserve">15. Boîte à outils pratique</w:t>
      </w:r>
    </w:p>
    <w:p>
      <w:pPr>
        <w:pStyle w:val="Heading2"/>
        <w:spacing w:after="120" w:before="240"/>
      </w:pPr>
      <w:r>
        <w:rPr>
          <w:b w:val="false"/>
          <w:bCs w:val="false"/>
        </w:rPr>
        <w:t xml:space="preserve">15.1. La fiche réflexe des formules</w:t>
      </w:r>
    </w:p>
    <w:tbl>
      <w:tblPr>
        <w:tblW w:type="dxa" w:w="9000"/>
        <w:tblBorders>
          <w:top w:val="single" w:color="B7C4D2" w:sz="4"/>
          <w:left w:val="single" w:color="B7C4D2" w:sz="4"/>
          <w:bottom w:val="single" w:color="B7C4D2" w:sz="4"/>
          <w:right w:val="single" w:color="B7C4D2" w:sz="4"/>
          <w:insideH w:val="single" w:color="B7C4D2" w:sz="4"/>
          <w:insideV w:val="single" w:color="B7C4D2" w:sz="4"/>
        </w:tblBorders>
      </w:tblPr>
      <w:tblGrid>
        <w:gridCol w:w="3050"/>
        <w:gridCol w:w="2450"/>
        <w:gridCol w:w="3500"/>
      </w:tblGrid>
      <w:tr>
        <w:trPr>
          <w:tblHeader/>
        </w:trPr>
        <w:tc>
          <w:tcPr>
            <w:tcW w:type="dxa" w:w="3050"/>
            <w:shd w:fill="1F3A5F" w:color="auto" w:val="clear"/>
            <w:tcMar>
              <w:top w:type="dxa" w:w="60"/>
              <w:left w:type="dxa" w:w="110"/>
              <w:bottom w:type="dxa" w:w="60"/>
              <w:right w:type="dxa" w:w="110"/>
            </w:tcMar>
          </w:tcPr>
          <w:p>
            <w:pPr>
              <w:spacing w:after="0" w:line="248"/>
            </w:pPr>
            <w:r>
              <w:rPr>
                <w:b/>
                <w:bCs/>
                <w:color w:val="FFFFFF"/>
              </w:rPr>
              <w:t xml:space="preserve">Formule repérée</w:t>
            </w:r>
          </w:p>
        </w:tc>
        <w:tc>
          <w:tcPr>
            <w:tcW w:type="dxa" w:w="2450"/>
            <w:shd w:fill="1F3A5F" w:color="auto" w:val="clear"/>
            <w:tcMar>
              <w:top w:type="dxa" w:w="60"/>
              <w:left w:type="dxa" w:w="110"/>
              <w:bottom w:type="dxa" w:w="60"/>
              <w:right w:type="dxa" w:w="110"/>
            </w:tcMar>
          </w:tcPr>
          <w:p>
            <w:pPr>
              <w:spacing w:after="0" w:line="248"/>
            </w:pPr>
            <w:r>
              <w:rPr>
                <w:b/>
                <w:bCs/>
                <w:color w:val="FFFFFF"/>
              </w:rPr>
              <w:t xml:space="preserve">Ce qu'elle signale</w:t>
            </w:r>
          </w:p>
        </w:tc>
        <w:tc>
          <w:tcPr>
            <w:tcW w:type="dxa" w:w="3500"/>
            <w:shd w:fill="1F3A5F" w:color="auto" w:val="clear"/>
            <w:tcMar>
              <w:top w:type="dxa" w:w="60"/>
              <w:left w:type="dxa" w:w="110"/>
              <w:bottom w:type="dxa" w:w="60"/>
              <w:right w:type="dxa" w:w="110"/>
            </w:tcMar>
          </w:tcPr>
          <w:p>
            <w:pPr>
              <w:spacing w:after="0" w:line="248"/>
            </w:pPr>
            <w:r>
              <w:rPr>
                <w:b/>
                <w:bCs/>
                <w:color w:val="FFFFFF"/>
              </w:rPr>
              <w:t xml:space="preserve">Ce que vous pouvez en tirer</w:t>
            </w:r>
          </w:p>
        </w:tc>
      </w:tr>
      <w:tr>
        <w:tc>
          <w:tcPr>
            <w:tcW w:type="dxa" w:w="3050"/>
            <w:tcMar>
              <w:top w:type="dxa" w:w="60"/>
              <w:left w:type="dxa" w:w="110"/>
              <w:bottom w:type="dxa" w:w="60"/>
              <w:right w:type="dxa" w:w="110"/>
            </w:tcMar>
          </w:tcPr>
          <w:p>
            <w:pPr>
              <w:spacing w:after="0" w:line="248"/>
            </w:pPr>
            <w:r>
              <w:rPr>
                <w:b/>
                <w:bCs/>
              </w:rPr>
              <w:t xml:space="preserve">« a souverainement / a constaté »</w:t>
            </w:r>
          </w:p>
        </w:tc>
        <w:tc>
          <w:tcPr>
            <w:tcW w:type="dxa" w:w="2450"/>
            <w:tcMar>
              <w:top w:type="dxa" w:w="60"/>
              <w:left w:type="dxa" w:w="110"/>
              <w:bottom w:type="dxa" w:w="60"/>
              <w:right w:type="dxa" w:w="110"/>
            </w:tcMar>
          </w:tcPr>
          <w:p>
            <w:pPr>
              <w:spacing w:after="0" w:line="248"/>
            </w:pPr>
            <w:r>
              <w:rPr>
                <w:b w:val="false"/>
                <w:bCs w:val="false"/>
              </w:rPr>
              <w:t xml:space="preserve">Appréciation souveraine</w:t>
            </w:r>
          </w:p>
        </w:tc>
        <w:tc>
          <w:tcPr>
            <w:tcW w:type="dxa" w:w="3500"/>
            <w:tcMar>
              <w:top w:type="dxa" w:w="60"/>
              <w:left w:type="dxa" w:w="110"/>
              <w:bottom w:type="dxa" w:w="60"/>
              <w:right w:type="dxa" w:w="110"/>
            </w:tcMar>
          </w:tcPr>
          <w:p>
            <w:pPr>
              <w:spacing w:after="0" w:line="248"/>
            </w:pPr>
            <w:r>
              <w:rPr>
                <w:b w:val="false"/>
                <w:bCs w:val="false"/>
              </w:rPr>
              <w:t xml:space="preserve">Aucune règle. Dépend des faits de l'espèce.</w:t>
            </w:r>
          </w:p>
        </w:tc>
      </w:tr>
      <w:tr>
        <w:tc>
          <w:tcPr>
            <w:tcW w:type="dxa" w:w="3050"/>
            <w:shd w:fill="EAF0F6" w:color="auto" w:val="clear"/>
            <w:tcMar>
              <w:top w:type="dxa" w:w="60"/>
              <w:left w:type="dxa" w:w="110"/>
              <w:bottom w:type="dxa" w:w="60"/>
              <w:right w:type="dxa" w:w="110"/>
            </w:tcMar>
          </w:tcPr>
          <w:p>
            <w:pPr>
              <w:spacing w:after="0" w:line="248"/>
            </w:pPr>
            <w:r>
              <w:rPr>
                <w:b/>
                <w:bCs/>
              </w:rPr>
              <w:t xml:space="preserve">« a pu / a pu en déduire »</w:t>
            </w:r>
          </w:p>
        </w:tc>
        <w:tc>
          <w:tcPr>
            <w:tcW w:type="dxa" w:w="2450"/>
            <w:shd w:fill="EAF0F6" w:color="auto" w:val="clear"/>
            <w:tcMar>
              <w:top w:type="dxa" w:w="60"/>
              <w:left w:type="dxa" w:w="110"/>
              <w:bottom w:type="dxa" w:w="60"/>
              <w:right w:type="dxa" w:w="110"/>
            </w:tcMar>
          </w:tcPr>
          <w:p>
            <w:pPr>
              <w:spacing w:after="0" w:line="248"/>
            </w:pPr>
            <w:r>
              <w:rPr>
                <w:b w:val="false"/>
                <w:bCs w:val="false"/>
              </w:rPr>
              <w:t xml:space="preserve">Contrôle léger</w:t>
            </w:r>
          </w:p>
        </w:tc>
        <w:tc>
          <w:tcPr>
            <w:tcW w:type="dxa" w:w="3500"/>
            <w:shd w:fill="EAF0F6" w:color="auto" w:val="clear"/>
            <w:tcMar>
              <w:top w:type="dxa" w:w="60"/>
              <w:left w:type="dxa" w:w="110"/>
              <w:bottom w:type="dxa" w:w="60"/>
              <w:right w:type="dxa" w:w="110"/>
            </w:tcMar>
          </w:tcPr>
          <w:p>
            <w:pPr>
              <w:spacing w:after="0" w:line="248"/>
            </w:pPr>
            <w:r>
              <w:rPr>
                <w:b w:val="false"/>
                <w:bCs w:val="false"/>
              </w:rPr>
              <w:t xml:space="preserve">Solution compatible, non imposée. N'en faites pas un principe.</w:t>
            </w:r>
          </w:p>
        </w:tc>
      </w:tr>
      <w:tr>
        <w:tc>
          <w:tcPr>
            <w:tcW w:type="dxa" w:w="3050"/>
            <w:tcMar>
              <w:top w:type="dxa" w:w="60"/>
              <w:left w:type="dxa" w:w="110"/>
              <w:bottom w:type="dxa" w:w="60"/>
              <w:right w:type="dxa" w:w="110"/>
            </w:tcMar>
          </w:tcPr>
          <w:p>
            <w:pPr>
              <w:spacing w:after="0" w:line="248"/>
            </w:pPr>
            <w:r>
              <w:rPr>
                <w:b/>
                <w:bCs/>
              </w:rPr>
              <w:t xml:space="preserve">« à bon droit / exactement »</w:t>
            </w:r>
          </w:p>
        </w:tc>
        <w:tc>
          <w:tcPr>
            <w:tcW w:type="dxa" w:w="2450"/>
            <w:tcMar>
              <w:top w:type="dxa" w:w="60"/>
              <w:left w:type="dxa" w:w="110"/>
              <w:bottom w:type="dxa" w:w="60"/>
              <w:right w:type="dxa" w:w="110"/>
            </w:tcMar>
          </w:tcPr>
          <w:p>
            <w:pPr>
              <w:spacing w:after="0" w:line="248"/>
            </w:pPr>
            <w:r>
              <w:rPr>
                <w:b w:val="false"/>
                <w:bCs w:val="false"/>
              </w:rPr>
              <w:t xml:space="preserve">Contrôle lourd</w:t>
            </w:r>
          </w:p>
        </w:tc>
        <w:tc>
          <w:tcPr>
            <w:tcW w:type="dxa" w:w="3500"/>
            <w:tcMar>
              <w:top w:type="dxa" w:w="60"/>
              <w:left w:type="dxa" w:w="110"/>
              <w:bottom w:type="dxa" w:w="60"/>
              <w:right w:type="dxa" w:w="110"/>
            </w:tcMar>
          </w:tcPr>
          <w:p>
            <w:pPr>
              <w:spacing w:after="0" w:line="248"/>
            </w:pPr>
            <w:r>
              <w:rPr>
                <w:b w:val="false"/>
                <w:bCs w:val="false"/>
              </w:rPr>
              <w:t xml:space="preserve">La Cour valide la règle. Précédent utilisable.</w:t>
            </w:r>
          </w:p>
        </w:tc>
      </w:tr>
      <w:tr>
        <w:tc>
          <w:tcPr>
            <w:tcW w:type="dxa" w:w="3050"/>
            <w:shd w:fill="EAF0F6" w:color="auto" w:val="clear"/>
            <w:tcMar>
              <w:top w:type="dxa" w:w="60"/>
              <w:left w:type="dxa" w:w="110"/>
              <w:bottom w:type="dxa" w:w="60"/>
              <w:right w:type="dxa" w:w="110"/>
            </w:tcMar>
          </w:tcPr>
          <w:p>
            <w:pPr>
              <w:spacing w:after="0" w:line="248"/>
            </w:pPr>
            <w:r>
              <w:rPr>
                <w:b/>
                <w:bCs/>
              </w:rPr>
              <w:t xml:space="preserve">Chapeau intérieur (rejet)</w:t>
            </w:r>
          </w:p>
        </w:tc>
        <w:tc>
          <w:tcPr>
            <w:tcW w:type="dxa" w:w="2450"/>
            <w:shd w:fill="EAF0F6" w:color="auto" w:val="clear"/>
            <w:tcMar>
              <w:top w:type="dxa" w:w="60"/>
              <w:left w:type="dxa" w:w="110"/>
              <w:bottom w:type="dxa" w:w="60"/>
              <w:right w:type="dxa" w:w="110"/>
            </w:tcMar>
          </w:tcPr>
          <w:p>
            <w:pPr>
              <w:spacing w:after="0" w:line="248"/>
            </w:pPr>
            <w:r>
              <w:rPr>
                <w:b w:val="false"/>
                <w:bCs w:val="false"/>
              </w:rPr>
              <w:t xml:space="preserve">Rejet normatif</w:t>
            </w:r>
          </w:p>
        </w:tc>
        <w:tc>
          <w:tcPr>
            <w:tcW w:type="dxa" w:w="3500"/>
            <w:shd w:fill="EAF0F6" w:color="auto" w:val="clear"/>
            <w:tcMar>
              <w:top w:type="dxa" w:w="60"/>
              <w:left w:type="dxa" w:w="110"/>
              <w:bottom w:type="dxa" w:w="60"/>
              <w:right w:type="dxa" w:w="110"/>
            </w:tcMar>
          </w:tcPr>
          <w:p>
            <w:pPr>
              <w:spacing w:after="0" w:line="248"/>
            </w:pPr>
            <w:r>
              <w:rPr>
                <w:b w:val="false"/>
                <w:bCs w:val="false"/>
              </w:rPr>
              <w:t xml:space="preserve">Arrêt de principe malgré le rejet.</w:t>
            </w:r>
          </w:p>
        </w:tc>
      </w:tr>
      <w:tr>
        <w:tc>
          <w:tcPr>
            <w:tcW w:type="dxa" w:w="3050"/>
            <w:tcMar>
              <w:top w:type="dxa" w:w="60"/>
              <w:left w:type="dxa" w:w="110"/>
              <w:bottom w:type="dxa" w:w="60"/>
              <w:right w:type="dxa" w:w="110"/>
            </w:tcMar>
          </w:tcPr>
          <w:p>
            <w:pPr>
              <w:spacing w:after="0" w:line="248"/>
            </w:pPr>
            <w:r>
              <w:rPr>
                <w:b/>
                <w:bCs/>
              </w:rPr>
              <w:t xml:space="preserve">« motif de pur droit substitué »</w:t>
            </w:r>
          </w:p>
        </w:tc>
        <w:tc>
          <w:tcPr>
            <w:tcW w:type="dxa" w:w="2450"/>
            <w:tcMar>
              <w:top w:type="dxa" w:w="60"/>
              <w:left w:type="dxa" w:w="110"/>
              <w:bottom w:type="dxa" w:w="60"/>
              <w:right w:type="dxa" w:w="110"/>
            </w:tcMar>
          </w:tcPr>
          <w:p>
            <w:pPr>
              <w:spacing w:after="0" w:line="248"/>
            </w:pPr>
            <w:r>
              <w:rPr>
                <w:b w:val="false"/>
                <w:bCs w:val="false"/>
              </w:rPr>
              <w:t xml:space="preserve">Rejet par substitution</w:t>
            </w:r>
          </w:p>
        </w:tc>
        <w:tc>
          <w:tcPr>
            <w:tcW w:type="dxa" w:w="3500"/>
            <w:tcMar>
              <w:top w:type="dxa" w:w="60"/>
              <w:left w:type="dxa" w:w="110"/>
              <w:bottom w:type="dxa" w:w="60"/>
              <w:right w:type="dxa" w:w="110"/>
            </w:tcMar>
          </w:tcPr>
          <w:p>
            <w:pPr>
              <w:spacing w:after="0" w:line="248"/>
            </w:pPr>
            <w:r>
              <w:rPr>
                <w:b w:val="false"/>
                <w:bCs w:val="false"/>
              </w:rPr>
              <w:t xml:space="preserve">La Cour impose son raisonnement. Peut faire doctrine.</w:t>
            </w:r>
          </w:p>
        </w:tc>
      </w:tr>
      <w:tr>
        <w:tc>
          <w:tcPr>
            <w:tcW w:type="dxa" w:w="3050"/>
            <w:shd w:fill="EAF0F6" w:color="auto" w:val="clear"/>
            <w:tcMar>
              <w:top w:type="dxa" w:w="60"/>
              <w:left w:type="dxa" w:w="110"/>
              <w:bottom w:type="dxa" w:w="60"/>
              <w:right w:type="dxa" w:w="110"/>
            </w:tcMar>
          </w:tcPr>
          <w:p>
            <w:pPr>
              <w:spacing w:after="0" w:line="248"/>
            </w:pPr>
            <w:r>
              <w:rPr>
                <w:b/>
                <w:bCs/>
              </w:rPr>
              <w:t xml:space="preserve">« abstraction faite d'un motif surabondant »</w:t>
            </w:r>
          </w:p>
        </w:tc>
        <w:tc>
          <w:tcPr>
            <w:tcW w:type="dxa" w:w="2450"/>
            <w:shd w:fill="EAF0F6" w:color="auto" w:val="clear"/>
            <w:tcMar>
              <w:top w:type="dxa" w:w="60"/>
              <w:left w:type="dxa" w:w="110"/>
              <w:bottom w:type="dxa" w:w="60"/>
              <w:right w:type="dxa" w:w="110"/>
            </w:tcMar>
          </w:tcPr>
          <w:p>
            <w:pPr>
              <w:spacing w:after="0" w:line="248"/>
            </w:pPr>
            <w:r>
              <w:rPr>
                <w:b w:val="false"/>
                <w:bCs w:val="false"/>
              </w:rPr>
              <w:t xml:space="preserve">Sauvetage</w:t>
            </w:r>
          </w:p>
        </w:tc>
        <w:tc>
          <w:tcPr>
            <w:tcW w:type="dxa" w:w="3500"/>
            <w:shd w:fill="EAF0F6" w:color="auto" w:val="clear"/>
            <w:tcMar>
              <w:top w:type="dxa" w:w="60"/>
              <w:left w:type="dxa" w:w="110"/>
              <w:bottom w:type="dxa" w:w="60"/>
              <w:right w:type="dxa" w:w="110"/>
            </w:tcMar>
          </w:tcPr>
          <w:p>
            <w:pPr>
              <w:spacing w:after="0" w:line="248"/>
            </w:pPr>
            <w:r>
              <w:rPr>
                <w:b w:val="false"/>
                <w:bCs w:val="false"/>
              </w:rPr>
              <w:t xml:space="preserve">Le motif critiqué n'est pas validé.</w:t>
            </w:r>
          </w:p>
        </w:tc>
      </w:tr>
      <w:tr>
        <w:tc>
          <w:tcPr>
            <w:tcW w:type="dxa" w:w="3050"/>
            <w:tcMar>
              <w:top w:type="dxa" w:w="60"/>
              <w:left w:type="dxa" w:w="110"/>
              <w:bottom w:type="dxa" w:w="60"/>
              <w:right w:type="dxa" w:w="110"/>
            </w:tcMar>
          </w:tcPr>
          <w:p>
            <w:pPr>
              <w:spacing w:after="0" w:line="248"/>
            </w:pPr>
            <w:r>
              <w:rPr>
                <w:b/>
                <w:bCs/>
              </w:rPr>
              <w:t xml:space="preserve">« en statuant ainsi… a violé »</w:t>
            </w:r>
          </w:p>
        </w:tc>
        <w:tc>
          <w:tcPr>
            <w:tcW w:type="dxa" w:w="2450"/>
            <w:tcMar>
              <w:top w:type="dxa" w:w="60"/>
              <w:left w:type="dxa" w:w="110"/>
              <w:bottom w:type="dxa" w:w="60"/>
              <w:right w:type="dxa" w:w="110"/>
            </w:tcMar>
          </w:tcPr>
          <w:p>
            <w:pPr>
              <w:spacing w:after="0" w:line="248"/>
            </w:pPr>
            <w:r>
              <w:rPr>
                <w:b w:val="false"/>
                <w:bCs w:val="false"/>
              </w:rPr>
              <w:t xml:space="preserve">Violation de la loi</w:t>
            </w:r>
          </w:p>
        </w:tc>
        <w:tc>
          <w:tcPr>
            <w:tcW w:type="dxa" w:w="3500"/>
            <w:tcMar>
              <w:top w:type="dxa" w:w="60"/>
              <w:left w:type="dxa" w:w="110"/>
              <w:bottom w:type="dxa" w:w="60"/>
              <w:right w:type="dxa" w:w="110"/>
            </w:tcMar>
          </w:tcPr>
          <w:p>
            <w:pPr>
              <w:spacing w:after="0" w:line="248"/>
            </w:pPr>
            <w:r>
              <w:rPr>
                <w:b w:val="false"/>
                <w:bCs w:val="false"/>
              </w:rPr>
              <w:t xml:space="preserve">Contrôle fort. La solution des juges du fond est condamnée.</w:t>
            </w:r>
          </w:p>
        </w:tc>
      </w:tr>
      <w:tr>
        <w:tc>
          <w:tcPr>
            <w:tcW w:type="dxa" w:w="3050"/>
            <w:shd w:fill="EAF0F6" w:color="auto" w:val="clear"/>
            <w:tcMar>
              <w:top w:type="dxa" w:w="60"/>
              <w:left w:type="dxa" w:w="110"/>
              <w:bottom w:type="dxa" w:w="60"/>
              <w:right w:type="dxa" w:w="110"/>
            </w:tcMar>
          </w:tcPr>
          <w:p>
            <w:pPr>
              <w:spacing w:after="0" w:line="248"/>
            </w:pPr>
            <w:r>
              <w:rPr>
                <w:b/>
                <w:bCs/>
              </w:rPr>
              <w:t xml:space="preserve">« en se déterminant ainsi… base légale »</w:t>
            </w:r>
          </w:p>
        </w:tc>
        <w:tc>
          <w:tcPr>
            <w:tcW w:type="dxa" w:w="2450"/>
            <w:shd w:fill="EAF0F6" w:color="auto" w:val="clear"/>
            <w:tcMar>
              <w:top w:type="dxa" w:w="60"/>
              <w:left w:type="dxa" w:w="110"/>
              <w:bottom w:type="dxa" w:w="60"/>
              <w:right w:type="dxa" w:w="110"/>
            </w:tcMar>
          </w:tcPr>
          <w:p>
            <w:pPr>
              <w:spacing w:after="0" w:line="248"/>
            </w:pPr>
            <w:r>
              <w:rPr>
                <w:b w:val="false"/>
                <w:bCs w:val="false"/>
              </w:rPr>
              <w:t xml:space="preserve">Manque de base légale</w:t>
            </w:r>
          </w:p>
        </w:tc>
        <w:tc>
          <w:tcPr>
            <w:tcW w:type="dxa" w:w="3500"/>
            <w:shd w:fill="EAF0F6" w:color="auto" w:val="clear"/>
            <w:tcMar>
              <w:top w:type="dxa" w:w="60"/>
              <w:left w:type="dxa" w:w="110"/>
              <w:bottom w:type="dxa" w:w="60"/>
              <w:right w:type="dxa" w:w="110"/>
            </w:tcMar>
          </w:tcPr>
          <w:p>
            <w:pPr>
              <w:spacing w:after="0" w:line="248"/>
            </w:pPr>
            <w:r>
              <w:rPr>
                <w:b w:val="false"/>
                <w:bCs w:val="false"/>
              </w:rPr>
              <w:t xml:space="preserve">Lacune de motivation. Solution reprenable en renvoi.</w:t>
            </w:r>
          </w:p>
        </w:tc>
      </w:tr>
      <w:tr>
        <w:tc>
          <w:tcPr>
            <w:tcW w:type="dxa" w:w="3050"/>
            <w:tcMar>
              <w:top w:type="dxa" w:w="60"/>
              <w:left w:type="dxa" w:w="110"/>
              <w:bottom w:type="dxa" w:w="60"/>
              <w:right w:type="dxa" w:w="110"/>
            </w:tcMar>
          </w:tcPr>
          <w:p>
            <w:pPr>
              <w:spacing w:after="0" w:line="248"/>
            </w:pPr>
            <w:r>
              <w:rPr>
                <w:b/>
                <w:bCs/>
              </w:rPr>
              <w:t xml:space="preserve">« n'a pas satisfait aux exigences (art. 455) »</w:t>
            </w:r>
          </w:p>
        </w:tc>
        <w:tc>
          <w:tcPr>
            <w:tcW w:type="dxa" w:w="2450"/>
            <w:tcMar>
              <w:top w:type="dxa" w:w="60"/>
              <w:left w:type="dxa" w:w="110"/>
              <w:bottom w:type="dxa" w:w="60"/>
              <w:right w:type="dxa" w:w="110"/>
            </w:tcMar>
          </w:tcPr>
          <w:p>
            <w:pPr>
              <w:spacing w:after="0" w:line="248"/>
            </w:pPr>
            <w:r>
              <w:rPr>
                <w:b w:val="false"/>
                <w:bCs w:val="false"/>
              </w:rPr>
              <w:t xml:space="preserve">Défaut de motifs</w:t>
            </w:r>
          </w:p>
        </w:tc>
        <w:tc>
          <w:tcPr>
            <w:tcW w:type="dxa" w:w="3500"/>
            <w:tcMar>
              <w:top w:type="dxa" w:w="60"/>
              <w:left w:type="dxa" w:w="110"/>
              <w:bottom w:type="dxa" w:w="60"/>
              <w:right w:type="dxa" w:w="110"/>
            </w:tcMar>
          </w:tcPr>
          <w:p>
            <w:pPr>
              <w:spacing w:after="0" w:line="248"/>
            </w:pPr>
            <w:r>
              <w:rPr>
                <w:b w:val="false"/>
                <w:bCs w:val="false"/>
              </w:rPr>
              <w:t xml:space="preserve">Vice de forme. Aucune portée sur le fond.</w:t>
            </w:r>
          </w:p>
        </w:tc>
      </w:tr>
      <w:tr>
        <w:tc>
          <w:tcPr>
            <w:tcW w:type="dxa" w:w="3050"/>
            <w:shd w:fill="EAF0F6" w:color="auto" w:val="clear"/>
            <w:tcMar>
              <w:top w:type="dxa" w:w="60"/>
              <w:left w:type="dxa" w:w="110"/>
              <w:bottom w:type="dxa" w:w="60"/>
              <w:right w:type="dxa" w:w="110"/>
            </w:tcMar>
          </w:tcPr>
          <w:p>
            <w:pPr>
              <w:spacing w:after="0" w:line="248"/>
            </w:pPr>
            <w:r>
              <w:rPr>
                <w:b/>
                <w:bCs/>
              </w:rPr>
              <w:t xml:space="preserve">Non-admission (art. 1014)</w:t>
            </w:r>
          </w:p>
        </w:tc>
        <w:tc>
          <w:tcPr>
            <w:tcW w:type="dxa" w:w="2450"/>
            <w:shd w:fill="EAF0F6" w:color="auto" w:val="clear"/>
            <w:tcMar>
              <w:top w:type="dxa" w:w="60"/>
              <w:left w:type="dxa" w:w="110"/>
              <w:bottom w:type="dxa" w:w="60"/>
              <w:right w:type="dxa" w:w="110"/>
            </w:tcMar>
          </w:tcPr>
          <w:p>
            <w:pPr>
              <w:spacing w:after="0" w:line="248"/>
            </w:pPr>
            <w:r>
              <w:rPr>
                <w:b w:val="false"/>
                <w:bCs w:val="false"/>
              </w:rPr>
              <w:t xml:space="preserve">Pas de portée</w:t>
            </w:r>
          </w:p>
        </w:tc>
        <w:tc>
          <w:tcPr>
            <w:tcW w:type="dxa" w:w="3500"/>
            <w:shd w:fill="EAF0F6" w:color="auto" w:val="clear"/>
            <w:tcMar>
              <w:top w:type="dxa" w:w="60"/>
              <w:left w:type="dxa" w:w="110"/>
              <w:bottom w:type="dxa" w:w="60"/>
              <w:right w:type="dxa" w:w="110"/>
            </w:tcMar>
          </w:tcPr>
          <w:p>
            <w:pPr>
              <w:spacing w:after="0" w:line="248"/>
            </w:pPr>
            <w:r>
              <w:rPr>
                <w:b w:val="false"/>
                <w:bCs w:val="false"/>
              </w:rPr>
              <w:t xml:space="preserve">Faiblesse des moyens. Ne bâtissez rien dessus.</w:t>
            </w:r>
          </w:p>
        </w:tc>
      </w:tr>
    </w:tbl>
    <w:p>
      <w:pPr>
        <w:pStyle w:val="Heading2"/>
        <w:spacing w:after="120" w:before="240"/>
      </w:pPr>
      <w:r>
        <w:rPr>
          <w:b w:val="false"/>
          <w:bCs w:val="false"/>
        </w:rPr>
        <w:t xml:space="preserve">15.2. Construire la fiche d'arrêt</w:t>
      </w:r>
    </w:p>
    <w:p>
      <w:pPr>
        <w:pStyle w:val="ListParagraph"/>
        <w:numPr>
          <w:ilvl w:val="0"/>
          <w:numId w:val="2"/>
        </w:numPr>
        <w:spacing w:after="90" w:line="272"/>
      </w:pPr>
      <w:r>
        <w:rPr>
          <w:b/>
          <w:bCs/>
        </w:rPr>
        <w:t xml:space="preserve">Faits.</w:t>
      </w:r>
      <w:r>
        <w:rPr>
          <w:b w:val="false"/>
          <w:bCs w:val="false"/>
        </w:rPr>
        <w:t xml:space="preserve"> Les faits matériels, dépouillés du vocabulaire procédural.</w:t>
      </w:r>
    </w:p>
    <w:p>
      <w:pPr>
        <w:pStyle w:val="ListParagraph"/>
        <w:numPr>
          <w:ilvl w:val="0"/>
          <w:numId w:val="2"/>
        </w:numPr>
        <w:spacing w:after="90" w:line="272"/>
      </w:pPr>
      <w:r>
        <w:rPr>
          <w:b/>
          <w:bCs/>
        </w:rPr>
        <w:t xml:space="preserve">Procédure.</w:t>
      </w:r>
      <w:r>
        <w:rPr>
          <w:b w:val="false"/>
          <w:bCs w:val="false"/>
        </w:rPr>
        <w:t xml:space="preserve"> Qui a saisi qui, sens de la décision de première instance, sens de l'arrêt d'appel, qui se pourvoit. Repérez un premier renvoi éventuel.</w:t>
      </w:r>
    </w:p>
    <w:p>
      <w:pPr>
        <w:pStyle w:val="ListParagraph"/>
        <w:numPr>
          <w:ilvl w:val="0"/>
          <w:numId w:val="2"/>
        </w:numPr>
        <w:spacing w:after="90" w:line="272"/>
      </w:pPr>
      <w:r>
        <w:rPr>
          <w:b/>
          <w:bCs/>
        </w:rPr>
        <w:t xml:space="preserve">Prétentions et moyens.</w:t>
      </w:r>
      <w:r>
        <w:rPr>
          <w:b w:val="false"/>
          <w:bCs w:val="false"/>
        </w:rPr>
        <w:t xml:space="preserve"> Ce que reproche le pourvoi à l'arrêt d'appel, et sur quel fondement.</w:t>
      </w:r>
    </w:p>
    <w:p>
      <w:pPr>
        <w:pStyle w:val="ListParagraph"/>
        <w:numPr>
          <w:ilvl w:val="0"/>
          <w:numId w:val="2"/>
        </w:numPr>
        <w:spacing w:after="90" w:line="272"/>
      </w:pPr>
      <w:r>
        <w:rPr>
          <w:b/>
          <w:bCs/>
        </w:rPr>
        <w:t xml:space="preserve">Problème de droit.</w:t>
      </w:r>
      <w:r>
        <w:rPr>
          <w:b w:val="false"/>
          <w:bCs w:val="false"/>
        </w:rPr>
        <w:t xml:space="preserve"> La question, en une phrase, assez précise pour appeler la réponse, assez générale pour dépasser l'espèce.</w:t>
      </w:r>
    </w:p>
    <w:p>
      <w:pPr>
        <w:pStyle w:val="ListParagraph"/>
        <w:numPr>
          <w:ilvl w:val="0"/>
          <w:numId w:val="2"/>
        </w:numPr>
        <w:spacing w:after="90" w:line="272"/>
      </w:pPr>
      <w:r>
        <w:rPr>
          <w:b/>
          <w:bCs/>
        </w:rPr>
        <w:t xml:space="preserve">Solution.</w:t>
      </w:r>
      <w:r>
        <w:rPr>
          <w:b w:val="false"/>
          <w:bCs w:val="false"/>
        </w:rPr>
        <w:t xml:space="preserve"> Ce que juge la Cour, avec le cas d'ouverture et la nature du contrôle. Pas seulement « casse » ou « rejette » : dites pourquoi et avec quelle intensité.</w:t>
      </w:r>
    </w:p>
    <w:p>
      <w:pPr>
        <w:pStyle w:val="Heading2"/>
        <w:spacing w:after="120" w:before="240"/>
      </w:pPr>
      <w:r>
        <w:rPr>
          <w:b w:val="false"/>
          <w:bCs w:val="false"/>
        </w:rPr>
        <w:t xml:space="preserve">15.3. Bâtir le commentaire : sens, valeur, portée</w:t>
      </w:r>
    </w:p>
    <w:p>
      <w:pPr>
        <w:pStyle w:val="ListParagraph"/>
        <w:numPr>
          <w:ilvl w:val="0"/>
          <w:numId w:val="2"/>
        </w:numPr>
        <w:spacing w:after="90" w:line="272"/>
      </w:pPr>
      <w:r>
        <w:rPr>
          <w:b/>
          <w:bCs/>
        </w:rPr>
        <w:t xml:space="preserve">Le sens.</w:t>
      </w:r>
      <w:r>
        <w:rPr>
          <w:b w:val="false"/>
          <w:bCs w:val="false"/>
        </w:rPr>
        <w:t xml:space="preserve"> Qu'a jugé la Cour, et par quel raisonnement ? Reconstituez le syllogisme, identifiez le cas d'ouverture, expliquez visa et chapeau.</w:t>
      </w:r>
    </w:p>
    <w:p>
      <w:pPr>
        <w:pStyle w:val="ListParagraph"/>
        <w:numPr>
          <w:ilvl w:val="0"/>
          <w:numId w:val="2"/>
        </w:numPr>
        <w:spacing w:after="90" w:line="272"/>
      </w:pPr>
      <w:r>
        <w:rPr>
          <w:b/>
          <w:bCs/>
        </w:rPr>
        <w:t xml:space="preserve">La valeur.</w:t>
      </w:r>
      <w:r>
        <w:rPr>
          <w:b w:val="false"/>
          <w:bCs w:val="false"/>
        </w:rPr>
        <w:t xml:space="preserve"> La solution est-elle justifiée ? Confrontez-la aux textes, à la jurisprudence antérieure, à la logique juridique, aux critiques doctrinales.</w:t>
      </w:r>
    </w:p>
    <w:p>
      <w:pPr>
        <w:pStyle w:val="ListParagraph"/>
        <w:numPr>
          <w:ilvl w:val="0"/>
          <w:numId w:val="2"/>
        </w:numPr>
        <w:spacing w:after="90" w:line="272"/>
      </w:pPr>
      <w:r>
        <w:rPr>
          <w:b/>
          <w:bCs/>
        </w:rPr>
        <w:t xml:space="preserve">La portée.</w:t>
      </w:r>
      <w:r>
        <w:rPr>
          <w:b w:val="false"/>
          <w:bCs w:val="false"/>
        </w:rPr>
        <w:t xml:space="preserve"> Que vaut l'arrêt pour l'avenir ? Mobilisez tout le guide : contrôle, formation, chambre, publication, motivation enrichie, situation atypique, revirement éventuel. Pour un arrêt important, la portée est souvent la partie la plus riche du commentaire.</w:t>
      </w:r>
    </w:p>
    <w:p>
      <w:pPr>
        <w:pStyle w:val="Heading2"/>
        <w:spacing w:after="120" w:before="240"/>
      </w:pPr>
      <w:r>
        <w:rPr>
          <w:b w:val="false"/>
          <w:bCs w:val="false"/>
        </w:rPr>
        <w:t xml:space="preserve">15.4. Les vérifications avant de conclure</w:t>
      </w:r>
    </w:p>
    <w:p>
      <w:pPr>
        <w:pStyle w:val="ListParagraph"/>
        <w:numPr>
          <w:ilvl w:val="0"/>
          <w:numId w:val="2"/>
        </w:numPr>
        <w:spacing w:after="90" w:line="272"/>
      </w:pPr>
      <w:r>
        <w:rPr>
          <w:b w:val="false"/>
          <w:bCs w:val="false"/>
        </w:rPr>
        <w:t xml:space="preserve">Ai-je lu la réponse de la Cour, et non le moyen ?</w:t>
      </w:r>
    </w:p>
    <w:p>
      <w:pPr>
        <w:pStyle w:val="ListParagraph"/>
        <w:numPr>
          <w:ilvl w:val="0"/>
          <w:numId w:val="2"/>
        </w:numPr>
        <w:spacing w:after="90" w:line="272"/>
      </w:pPr>
      <w:r>
        <w:rPr>
          <w:b w:val="false"/>
          <w:bCs w:val="false"/>
        </w:rPr>
        <w:t xml:space="preserve">Le conclusif dit-il « en statuant ainsi » (violation de la loi) ou « en se déterminant ainsi » (manque de base légale) ?</w:t>
      </w:r>
    </w:p>
    <w:p>
      <w:pPr>
        <w:pStyle w:val="ListParagraph"/>
        <w:numPr>
          <w:ilvl w:val="0"/>
          <w:numId w:val="2"/>
        </w:numPr>
        <w:spacing w:after="90" w:line="272"/>
      </w:pPr>
      <w:r>
        <w:rPr>
          <w:b w:val="false"/>
          <w:bCs w:val="false"/>
        </w:rPr>
        <w:t xml:space="preserve">Le verbe d'approbation est-il « a pu » (léger) ou « à bon droit / exactement » (lourd) ?</w:t>
      </w:r>
    </w:p>
    <w:p>
      <w:pPr>
        <w:pStyle w:val="ListParagraph"/>
        <w:numPr>
          <w:ilvl w:val="0"/>
          <w:numId w:val="2"/>
        </w:numPr>
        <w:spacing w:after="90" w:line="272"/>
      </w:pPr>
      <w:r>
        <w:rPr>
          <w:b w:val="false"/>
          <w:bCs w:val="false"/>
        </w:rPr>
        <w:t xml:space="preserve">Combien de noms de magistrats ? Quelle chambre, et est-ce sa spécialité ? Quelle publication ? Un avis de l'avocat général ?</w:t>
      </w:r>
    </w:p>
    <w:p>
      <w:pPr>
        <w:pStyle w:val="ListParagraph"/>
        <w:numPr>
          <w:ilvl w:val="0"/>
          <w:numId w:val="2"/>
        </w:numPr>
        <w:spacing w:after="90" w:line="272"/>
      </w:pPr>
      <w:r>
        <w:rPr>
          <w:b w:val="false"/>
          <w:bCs w:val="false"/>
        </w:rPr>
        <w:t xml:space="preserve">Une situation atypique est-elle en jeu (moyen d'office, substitution, avis, question préjudicielle) ?</w:t>
      </w:r>
    </w:p>
    <w:p>
      <w:pPr>
        <w:pStyle w:val="ListParagraph"/>
        <w:numPr>
          <w:ilvl w:val="0"/>
          <w:numId w:val="2"/>
        </w:numPr>
        <w:spacing w:after="90" w:line="272"/>
      </w:pPr>
      <w:r>
        <w:rPr>
          <w:b w:val="false"/>
          <w:bCs w:val="false"/>
        </w:rPr>
        <w:t xml:space="preserve">Si cassation : totale ou partielle, avec ou sans renvoi ? Ai-je distingué ce que l'arrêt tranche de ce qu'il laisse ouvert ?</w:t>
      </w:r>
    </w:p>
    <w:p>
      <w:pPr>
        <w:pBdr>
          <w:top w:val="single" w:color="B7C4D2" w:sz="6" w:space="8"/>
        </w:pBdr>
        <w:spacing w:after="60" w:before="320"/>
      </w:pPr>
    </w:p>
    <w:p>
      <w:pPr>
        <w:spacing w:after="0" w:line="250"/>
      </w:pPr>
      <w:r>
        <w:rPr>
          <w:i/>
          <w:iCs/>
          <w:color w:val="555555"/>
          <w:sz w:val="18"/>
          <w:szCs w:val="18"/>
        </w:rPr>
        <w:t xml:space="preserve">Repères et arrêts d'illustration tirés de : J.-F. Weber, « Comprendre un arrêt de la Cour de cassation rendu en matière civile », BICC n° 702, 2009 ; Cour de cassation, Guide de rédaction des arrêts en matière civile, 2020 ; Guide de lecture d'un arrêt civil, 2021 ; SDER, Étude sur la modulation dans le temps des effets des revirements de jurisprudence, 2023.</w:t>
      </w:r>
    </w:p>
    <w:sectPr>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20" w:hanging="300"/>
      </w:pPr>
    </w:lvl>
  </w:abstractNum>
  <w:abstractNum w:abstractNumId="3" w15:restartNumberingAfterBreak="0">
    <w:multiLevelType w:val="hybridMultilevel"/>
    <w:lvl w:ilvl="0" w15:tentative="1">
      <w:start w:val="1"/>
      <w:numFmt w:val="decimal"/>
      <w:lvlText w:val="%1."/>
      <w:lvlJc w:val="start"/>
      <w:pPr>
        <w:ind w:left="620" w:hanging="320"/>
      </w:pPr>
    </w:lvl>
  </w:abstractNum>
  <w:abstractNum w:abstractNumId="4" w15:restartNumberingAfterBreak="0">
    <w:multiLevelType w:val="hybridMultilevel"/>
    <w:lvl w:ilvl="0" w15:tentative="1">
      <w:start w:val="1"/>
      <w:numFmt w:val="decimal"/>
      <w:lvlText w:val="%1."/>
      <w:lvlJc w:val="start"/>
      <w:pPr>
        <w:ind w:left="62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40"/>
      <w:outlineLvl w:val="0"/>
    </w:pPr>
    <w:rPr>
      <w:rFonts w:ascii="Calibri" w:cs="Calibri" w:eastAsia="Calibri" w:hAnsi="Calibri"/>
      <w:b/>
      <w:bCs/>
      <w:color w:val="1F3A5F"/>
      <w:sz w:val="30"/>
      <w:szCs w:val="30"/>
    </w:rPr>
  </w:style>
  <w:style w:type="paragraph" w:styleId="Heading2">
    <w:name w:val="Heading 2"/>
    <w:basedOn w:val="Normal"/>
    <w:next w:val="Normal"/>
    <w:qFormat/>
    <w:pPr>
      <w:keepNext/>
      <w:spacing w:after="120" w:before="240"/>
      <w:outlineLvl w:val="1"/>
    </w:pPr>
    <w:rPr>
      <w:rFonts w:ascii="Calibri" w:cs="Calibri" w:eastAsia="Calibri" w:hAnsi="Calibri"/>
      <w:b/>
      <w:bCs/>
      <w:color w:val="2E4C6E"/>
      <w:sz w:val="25"/>
      <w:szCs w:val="25"/>
    </w:rPr>
  </w:style>
  <w:style w:type="paragraph" w:styleId="Heading3">
    <w:name w:val="Heading 3"/>
    <w:basedOn w:val="Normal"/>
    <w:next w:val="Normal"/>
    <w:qFormat/>
    <w:pPr>
      <w:keepNext/>
      <w:spacing w:after="100" w:before="180"/>
      <w:outlineLvl w:val="2"/>
    </w:pPr>
    <w:rPr>
      <w:rFonts w:ascii="Calibri" w:cs="Calibri" w:eastAsia="Calibri" w:hAnsi="Calibri"/>
      <w:b/>
      <w:bCs/>
      <w:i/>
      <w:iCs/>
      <w:color w:val="3A5474"/>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a000df97f5701f3797b009d393428dbea860989.png"/><Relationship Id="rId8" Type="http://schemas.openxmlformats.org/officeDocument/2006/relationships/image" Target="media/1f93ebff358b9ecd202365a6f415c9b9ab6d825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2026-08-29T08:40:28.802Z</dcterms:created>
  <dcterms:modified xsi:type="dcterms:W3CDTF">2026-08-29T08:40:28.813Z</dcterms:modified>
</cp:coreProperties>
</file>

<file path=docProps/custom.xml><?xml version="1.0" encoding="utf-8"?>
<Properties xmlns="http://schemas.openxmlformats.org/officeDocument/2006/custom-properties" xmlns:vt="http://schemas.openxmlformats.org/officeDocument/2006/docPropsVTypes"/>
</file>